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018FE">
      <w:pPr>
        <w:spacing w:line="300" w:lineRule="auto"/>
        <w:jc w:val="center"/>
        <w:rPr>
          <w:rFonts w:ascii="Times New Roman" w:hAnsi="Times New Roman" w:eastAsia="黑体"/>
          <w:b/>
          <w:bCs/>
          <w:color w:val="000000"/>
          <w:w w:val="90"/>
          <w:sz w:val="44"/>
          <w:szCs w:val="44"/>
        </w:rPr>
      </w:pPr>
    </w:p>
    <w:p w14:paraId="2E8C64F1">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rPr>
        <w:t>山东济钢环保新材料有限公司</w:t>
      </w:r>
    </w:p>
    <w:p w14:paraId="3163DB23">
      <w:pPr>
        <w:spacing w:line="300" w:lineRule="auto"/>
        <w:ind w:left="0" w:leftChars="0" w:firstLine="0" w:firstLineChars="0"/>
        <w:jc w:val="center"/>
        <w:rPr>
          <w:rFonts w:hint="eastAsia" w:ascii="方正小标宋简体" w:hAnsi="方正小标宋简体" w:eastAsia="方正小标宋简体" w:cs="方正小标宋简体"/>
          <w:b/>
          <w:bCs/>
          <w:color w:val="000000"/>
          <w:w w:val="90"/>
          <w:sz w:val="44"/>
          <w:szCs w:val="44"/>
        </w:rPr>
      </w:pPr>
      <w:r>
        <w:rPr>
          <w:rFonts w:hint="eastAsia" w:ascii="方正小标宋简体" w:hAnsi="方正小标宋简体" w:eastAsia="方正小标宋简体" w:cs="方正小标宋简体"/>
          <w:b/>
          <w:bCs/>
          <w:color w:val="000000"/>
          <w:w w:val="90"/>
          <w:sz w:val="44"/>
          <w:szCs w:val="44"/>
          <w:lang w:val="en-US" w:eastAsia="zh-CN"/>
        </w:rPr>
        <w:t>起重机械</w:t>
      </w:r>
      <w:r>
        <w:rPr>
          <w:rFonts w:hint="eastAsia" w:ascii="方正小标宋简体" w:hAnsi="方正小标宋简体" w:eastAsia="方正小标宋简体" w:cs="方正小标宋简体"/>
          <w:b/>
          <w:bCs/>
          <w:color w:val="000000"/>
          <w:w w:val="90"/>
          <w:sz w:val="44"/>
          <w:szCs w:val="44"/>
          <w:lang w:eastAsia="zh-CN"/>
        </w:rPr>
        <w:t>维修</w:t>
      </w:r>
      <w:r>
        <w:rPr>
          <w:rFonts w:hint="eastAsia" w:ascii="方正小标宋简体" w:hAnsi="方正小标宋简体" w:eastAsia="方正小标宋简体" w:cs="方正小标宋简体"/>
          <w:b/>
          <w:bCs/>
          <w:color w:val="000000"/>
          <w:w w:val="90"/>
          <w:sz w:val="44"/>
          <w:szCs w:val="44"/>
          <w:lang w:val="en-US" w:eastAsia="zh-CN"/>
        </w:rPr>
        <w:t>保养</w:t>
      </w:r>
      <w:r>
        <w:rPr>
          <w:rFonts w:hint="eastAsia" w:ascii="方正小标宋简体" w:hAnsi="方正小标宋简体" w:eastAsia="方正小标宋简体" w:cs="方正小标宋简体"/>
          <w:b/>
          <w:bCs/>
          <w:color w:val="000000"/>
          <w:w w:val="90"/>
          <w:sz w:val="44"/>
          <w:szCs w:val="44"/>
        </w:rPr>
        <w:t>服务</w:t>
      </w:r>
    </w:p>
    <w:p w14:paraId="17239711">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17EEAE7A">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4D1ED321">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rPr>
        <w:t>招标文件</w:t>
      </w:r>
    </w:p>
    <w:p w14:paraId="6EF02D9E">
      <w:pPr>
        <w:spacing w:line="300" w:lineRule="auto"/>
        <w:jc w:val="center"/>
        <w:rPr>
          <w:rFonts w:hint="eastAsia" w:ascii="方正小标宋简体" w:hAnsi="方正小标宋简体" w:eastAsia="方正小标宋简体" w:cs="方正小标宋简体"/>
          <w:b/>
          <w:bCs/>
          <w:color w:val="000000"/>
          <w:w w:val="90"/>
          <w:sz w:val="44"/>
          <w:szCs w:val="44"/>
        </w:rPr>
      </w:pPr>
    </w:p>
    <w:p w14:paraId="6A7A3AFB">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037D0587">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383063DB">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31A09CFF">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2AA0DE75">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招标人：山东济钢环保新材料有限公司 </w:t>
      </w:r>
    </w:p>
    <w:p w14:paraId="3E8287CF">
      <w:pPr>
        <w:pStyle w:val="81"/>
        <w:shd w:val="clear" w:color="auto"/>
        <w:spacing w:line="300" w:lineRule="auto"/>
        <w:jc w:val="center"/>
        <w:rPr>
          <w:rFonts w:hint="eastAsia" w:ascii="方正小标宋简体" w:hAnsi="方正小标宋简体" w:eastAsia="方正小标宋简体" w:cs="方正小标宋简体"/>
          <w:bCs/>
          <w:color w:val="000000"/>
          <w:spacing w:val="28"/>
          <w:sz w:val="32"/>
          <w:szCs w:val="32"/>
        </w:rPr>
      </w:pPr>
      <w:r>
        <w:rPr>
          <w:rFonts w:hint="eastAsia" w:ascii="方正小标宋简体" w:hAnsi="方正小标宋简体" w:eastAsia="方正小标宋简体" w:cs="方正小标宋简体"/>
          <w:bCs/>
          <w:color w:val="000000"/>
          <w:spacing w:val="28"/>
          <w:sz w:val="32"/>
          <w:szCs w:val="32"/>
          <w:shd w:val="clear"/>
        </w:rPr>
        <w:t>202</w:t>
      </w:r>
      <w:r>
        <w:rPr>
          <w:rFonts w:hint="eastAsia" w:ascii="方正小标宋简体" w:hAnsi="方正小标宋简体" w:eastAsia="方正小标宋简体" w:cs="方正小标宋简体"/>
          <w:bCs/>
          <w:color w:val="000000"/>
          <w:spacing w:val="28"/>
          <w:sz w:val="32"/>
          <w:szCs w:val="32"/>
          <w:shd w:val="clear"/>
          <w:lang w:val="en-US" w:eastAsia="zh-CN"/>
        </w:rPr>
        <w:t>6</w:t>
      </w:r>
      <w:r>
        <w:rPr>
          <w:rFonts w:hint="eastAsia" w:ascii="方正小标宋简体" w:hAnsi="方正小标宋简体" w:eastAsia="方正小标宋简体" w:cs="方正小标宋简体"/>
          <w:bCs/>
          <w:color w:val="000000"/>
          <w:spacing w:val="28"/>
          <w:sz w:val="32"/>
          <w:szCs w:val="32"/>
          <w:shd w:val="clear"/>
        </w:rPr>
        <w:t>年</w:t>
      </w:r>
      <w:r>
        <w:rPr>
          <w:rFonts w:hint="eastAsia" w:ascii="方正小标宋简体" w:hAnsi="方正小标宋简体" w:eastAsia="方正小标宋简体" w:cs="方正小标宋简体"/>
          <w:bCs/>
          <w:color w:val="000000"/>
          <w:spacing w:val="28"/>
          <w:sz w:val="32"/>
          <w:szCs w:val="32"/>
          <w:shd w:val="clear"/>
          <w:lang w:val="en-US" w:eastAsia="zh-CN"/>
        </w:rPr>
        <w:t>6</w:t>
      </w:r>
      <w:r>
        <w:rPr>
          <w:rFonts w:hint="eastAsia" w:ascii="方正小标宋简体" w:hAnsi="方正小标宋简体" w:eastAsia="方正小标宋简体" w:cs="方正小标宋简体"/>
          <w:bCs/>
          <w:color w:val="000000"/>
          <w:spacing w:val="28"/>
          <w:sz w:val="32"/>
          <w:szCs w:val="32"/>
          <w:shd w:val="clear"/>
        </w:rPr>
        <w:t>月</w:t>
      </w:r>
      <w:r>
        <w:rPr>
          <w:rFonts w:hint="eastAsia" w:ascii="方正小标宋简体" w:hAnsi="方正小标宋简体" w:eastAsia="方正小标宋简体" w:cs="方正小标宋简体"/>
          <w:bCs/>
          <w:color w:val="000000"/>
          <w:spacing w:val="28"/>
          <w:sz w:val="32"/>
          <w:szCs w:val="32"/>
          <w:shd w:val="clear"/>
          <w:lang w:val="en-US" w:eastAsia="zh-CN"/>
        </w:rPr>
        <w:t>1</w:t>
      </w:r>
      <w:r>
        <w:rPr>
          <w:rFonts w:hint="eastAsia" w:ascii="方正小标宋简体" w:hAnsi="方正小标宋简体" w:eastAsia="方正小标宋简体" w:cs="方正小标宋简体"/>
          <w:bCs/>
          <w:color w:val="000000"/>
          <w:spacing w:val="28"/>
          <w:sz w:val="32"/>
          <w:szCs w:val="32"/>
          <w:lang w:val="en-US" w:eastAsia="zh-CN"/>
        </w:rPr>
        <w:t>7</w:t>
      </w:r>
      <w:r>
        <w:rPr>
          <w:rFonts w:hint="eastAsia" w:ascii="方正小标宋简体" w:hAnsi="方正小标宋简体" w:eastAsia="方正小标宋简体" w:cs="方正小标宋简体"/>
          <w:bCs/>
          <w:color w:val="000000"/>
          <w:spacing w:val="28"/>
          <w:sz w:val="32"/>
          <w:szCs w:val="32"/>
        </w:rPr>
        <w:t>日</w:t>
      </w:r>
    </w:p>
    <w:p w14:paraId="29EF1309">
      <w:pPr>
        <w:shd w:val="clear"/>
        <w:spacing w:line="300" w:lineRule="auto"/>
        <w:rPr>
          <w:rFonts w:hint="eastAsia" w:ascii="方正小标宋简体" w:hAnsi="方正小标宋简体" w:eastAsia="方正小标宋简体" w:cs="方正小标宋简体"/>
          <w:bCs/>
          <w:color w:val="000000"/>
          <w:sz w:val="28"/>
          <w:szCs w:val="28"/>
        </w:rPr>
        <w:sectPr>
          <w:headerReference r:id="rId3" w:type="default"/>
          <w:pgSz w:w="11906" w:h="16838"/>
          <w:pgMar w:top="1440" w:right="1416" w:bottom="1440" w:left="1560" w:header="851" w:footer="992" w:gutter="0"/>
          <w:cols w:space="720" w:num="1"/>
          <w:docGrid w:type="lines" w:linePitch="312" w:charSpace="0"/>
        </w:sectPr>
      </w:pPr>
    </w:p>
    <w:sdt>
      <w:sdtPr>
        <w:rPr>
          <w:rFonts w:hint="eastAsia" w:ascii="方正小标宋简体" w:hAnsi="方正小标宋简体" w:eastAsia="方正小标宋简体" w:cs="方正小标宋简体"/>
          <w:sz w:val="36"/>
          <w:szCs w:val="36"/>
          <w:lang w:val="en-US" w:eastAsia="zh-CN" w:bidi="ar-SA"/>
        </w:rPr>
        <w:id w:val="147473828"/>
        <w:docPartObj>
          <w:docPartGallery w:val="Table of Contents"/>
          <w:docPartUnique/>
        </w:docPartObj>
      </w:sdtPr>
      <w:sdtEndPr>
        <w:rPr>
          <w:rFonts w:hint="eastAsia" w:ascii="方正小标宋简体" w:hAnsi="方正小标宋简体" w:eastAsia="方正小标宋简体" w:cs="方正小标宋简体"/>
          <w:sz w:val="20"/>
          <w:szCs w:val="20"/>
          <w:lang w:val="en-US" w:eastAsia="zh-CN" w:bidi="ar-SA"/>
        </w:rPr>
      </w:sdtEndPr>
      <w:sdtContent>
        <w:p w14:paraId="4491104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rPr>
          </w:pPr>
          <w:bookmarkStart w:id="0" w:name="_Toc29274_WPSOffice_Type1"/>
          <w:r>
            <w:rPr>
              <w:rFonts w:hint="eastAsia" w:ascii="方正小标宋简体" w:hAnsi="方正小标宋简体" w:eastAsia="方正小标宋简体" w:cs="方正小标宋简体"/>
              <w:sz w:val="36"/>
              <w:szCs w:val="36"/>
            </w:rPr>
            <w:t>目录</w:t>
          </w:r>
        </w:p>
        <w:p w14:paraId="530D760E">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_Toc5950_WPSOffice_Level1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80804"/>
              <w:placeholder>
                <w:docPart w:val="{47c6498c-0552-4c59-ae9c-47d58bc557e6}"/>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第一章   招标公告</w:t>
              </w:r>
            </w:sdtContent>
          </w:sdt>
          <w:r>
            <w:rPr>
              <w:rFonts w:hint="eastAsia" w:ascii="仿宋_GB2312" w:hAnsi="仿宋_GB2312" w:eastAsia="仿宋_GB2312" w:cs="仿宋_GB2312"/>
              <w:b/>
              <w:bCs/>
              <w:sz w:val="28"/>
              <w:szCs w:val="28"/>
            </w:rPr>
            <w:tab/>
          </w:r>
          <w:bookmarkStart w:id="1" w:name="_Toc5950_WPSOffice_Level1Page"/>
          <w:r>
            <w:rPr>
              <w:rFonts w:hint="eastAsia" w:ascii="仿宋_GB2312" w:hAnsi="仿宋_GB2312" w:eastAsia="仿宋_GB2312" w:cs="仿宋_GB2312"/>
              <w:b/>
              <w:bCs/>
              <w:sz w:val="28"/>
              <w:szCs w:val="28"/>
            </w:rPr>
            <w:t>1</w:t>
          </w:r>
          <w:bookmarkEnd w:id="1"/>
          <w:r>
            <w:rPr>
              <w:rFonts w:hint="eastAsia" w:ascii="仿宋_GB2312" w:hAnsi="仿宋_GB2312" w:eastAsia="仿宋_GB2312" w:cs="仿宋_GB2312"/>
              <w:b/>
              <w:bCs/>
              <w:sz w:val="28"/>
              <w:szCs w:val="28"/>
            </w:rPr>
            <w:fldChar w:fldCharType="end"/>
          </w:r>
        </w:p>
        <w:p w14:paraId="2C898DFB">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_Toc29274_WPSOffice_Level1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53569"/>
              <w:placeholder>
                <w:docPart w:val="{b51bf0f7-022a-4559-abc0-0d1bd889bd8a}"/>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 xml:space="preserve">第二章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招标须知</w:t>
              </w:r>
            </w:sdtContent>
          </w:sdt>
          <w:r>
            <w:rPr>
              <w:rFonts w:hint="eastAsia" w:ascii="仿宋_GB2312" w:hAnsi="仿宋_GB2312" w:eastAsia="仿宋_GB2312" w:cs="仿宋_GB2312"/>
              <w:b/>
              <w:bCs/>
              <w:sz w:val="28"/>
              <w:szCs w:val="28"/>
            </w:rPr>
            <w:tab/>
          </w:r>
          <w:bookmarkStart w:id="2" w:name="_Toc29274_WPSOffice_Level1Page"/>
          <w:r>
            <w:rPr>
              <w:rFonts w:hint="eastAsia" w:ascii="仿宋_GB2312" w:hAnsi="仿宋_GB2312" w:eastAsia="仿宋_GB2312" w:cs="仿宋_GB2312"/>
              <w:b/>
              <w:bCs/>
              <w:sz w:val="28"/>
              <w:szCs w:val="28"/>
            </w:rPr>
            <w:t>5</w:t>
          </w:r>
          <w:bookmarkEnd w:id="2"/>
          <w:r>
            <w:rPr>
              <w:rFonts w:hint="eastAsia" w:ascii="仿宋_GB2312" w:hAnsi="仿宋_GB2312" w:eastAsia="仿宋_GB2312" w:cs="仿宋_GB2312"/>
              <w:b/>
              <w:bCs/>
              <w:sz w:val="28"/>
              <w:szCs w:val="28"/>
            </w:rPr>
            <w:fldChar w:fldCharType="end"/>
          </w:r>
        </w:p>
        <w:p w14:paraId="620BD0D1">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_Toc24184_WPSOffice_Level1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62233"/>
              <w:placeholder>
                <w:docPart w:val="{c25d4978-c5d2-477a-91bb-0b09dc94c11a}"/>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 xml:space="preserve">第三章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评标办法</w:t>
              </w:r>
            </w:sdtContent>
          </w:sdt>
          <w:r>
            <w:rPr>
              <w:rFonts w:hint="eastAsia" w:ascii="仿宋_GB2312" w:hAnsi="仿宋_GB2312" w:eastAsia="仿宋_GB2312" w:cs="仿宋_GB2312"/>
              <w:b/>
              <w:bCs/>
              <w:sz w:val="28"/>
              <w:szCs w:val="28"/>
            </w:rPr>
            <w:tab/>
          </w:r>
          <w:bookmarkStart w:id="3" w:name="_Toc24184_WPSOffice_Level1Page"/>
          <w:r>
            <w:rPr>
              <w:rFonts w:hint="eastAsia" w:ascii="仿宋_GB2312" w:hAnsi="仿宋_GB2312" w:eastAsia="仿宋_GB2312" w:cs="仿宋_GB2312"/>
              <w:b/>
              <w:bCs/>
              <w:sz w:val="28"/>
              <w:szCs w:val="28"/>
            </w:rPr>
            <w:t>19</w:t>
          </w:r>
          <w:bookmarkEnd w:id="3"/>
          <w:r>
            <w:rPr>
              <w:rFonts w:hint="eastAsia" w:ascii="仿宋_GB2312" w:hAnsi="仿宋_GB2312" w:eastAsia="仿宋_GB2312" w:cs="仿宋_GB2312"/>
              <w:b/>
              <w:bCs/>
              <w:sz w:val="28"/>
              <w:szCs w:val="28"/>
            </w:rPr>
            <w:fldChar w:fldCharType="end"/>
          </w:r>
        </w:p>
        <w:p w14:paraId="3531E42A">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_Toc22717_WPSOffice_Level1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61008"/>
              <w:placeholder>
                <w:docPart w:val="{4dee9d09-12f1-4d62-ac96-cef84ef3c0db}"/>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 xml:space="preserve">第四章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技术要求</w:t>
              </w:r>
            </w:sdtContent>
          </w:sdt>
          <w:r>
            <w:rPr>
              <w:rFonts w:hint="eastAsia" w:ascii="仿宋_GB2312" w:hAnsi="仿宋_GB2312" w:eastAsia="仿宋_GB2312" w:cs="仿宋_GB2312"/>
              <w:b/>
              <w:bCs/>
              <w:sz w:val="28"/>
              <w:szCs w:val="28"/>
            </w:rPr>
            <w:tab/>
          </w:r>
          <w:bookmarkStart w:id="4" w:name="_Toc22717_WPSOffice_Level1Page"/>
          <w:r>
            <w:rPr>
              <w:rFonts w:hint="eastAsia" w:ascii="仿宋_GB2312" w:hAnsi="仿宋_GB2312" w:eastAsia="仿宋_GB2312" w:cs="仿宋_GB2312"/>
              <w:b/>
              <w:bCs/>
              <w:sz w:val="28"/>
              <w:szCs w:val="28"/>
            </w:rPr>
            <w:t>22</w:t>
          </w:r>
          <w:bookmarkEnd w:id="4"/>
          <w:r>
            <w:rPr>
              <w:rFonts w:hint="eastAsia" w:ascii="仿宋_GB2312" w:hAnsi="仿宋_GB2312" w:eastAsia="仿宋_GB2312" w:cs="仿宋_GB2312"/>
              <w:b/>
              <w:bCs/>
              <w:sz w:val="28"/>
              <w:szCs w:val="28"/>
            </w:rPr>
            <w:fldChar w:fldCharType="end"/>
          </w:r>
        </w:p>
        <w:p w14:paraId="64930876">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_Toc386_WPSOffice_Level1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78650"/>
              <w:placeholder>
                <w:docPart w:val="{baa7020d-cbdc-4b80-9be8-db23af549d25}"/>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 xml:space="preserve">第五章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合同条款及格式</w:t>
              </w:r>
            </w:sdtContent>
          </w:sdt>
          <w:r>
            <w:rPr>
              <w:rFonts w:hint="eastAsia" w:ascii="仿宋_GB2312" w:hAnsi="仿宋_GB2312" w:eastAsia="仿宋_GB2312" w:cs="仿宋_GB2312"/>
              <w:b/>
              <w:bCs/>
              <w:sz w:val="28"/>
              <w:szCs w:val="28"/>
            </w:rPr>
            <w:tab/>
          </w:r>
          <w:bookmarkStart w:id="5" w:name="_Toc386_WPSOffice_Level1Page"/>
          <w:r>
            <w:rPr>
              <w:rFonts w:hint="eastAsia" w:ascii="仿宋_GB2312" w:hAnsi="仿宋_GB2312" w:eastAsia="仿宋_GB2312" w:cs="仿宋_GB2312"/>
              <w:b/>
              <w:bCs/>
              <w:sz w:val="28"/>
              <w:szCs w:val="28"/>
            </w:rPr>
            <w:t>24</w:t>
          </w:r>
          <w:bookmarkEnd w:id="5"/>
          <w:r>
            <w:rPr>
              <w:rFonts w:hint="eastAsia" w:ascii="仿宋_GB2312" w:hAnsi="仿宋_GB2312" w:eastAsia="仿宋_GB2312" w:cs="仿宋_GB2312"/>
              <w:b/>
              <w:bCs/>
              <w:sz w:val="28"/>
              <w:szCs w:val="28"/>
            </w:rPr>
            <w:fldChar w:fldCharType="end"/>
          </w:r>
        </w:p>
        <w:p w14:paraId="60B121D7">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_Toc1571_WPSOffice_Level1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63068"/>
              <w:placeholder>
                <w:docPart w:val="{37c66cee-39be-405c-8a3b-ccee1d5988c9}"/>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 xml:space="preserve">第六章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投标文件格式及内容</w:t>
              </w:r>
            </w:sdtContent>
          </w:sdt>
          <w:r>
            <w:rPr>
              <w:rFonts w:hint="eastAsia" w:ascii="仿宋_GB2312" w:hAnsi="仿宋_GB2312" w:eastAsia="仿宋_GB2312" w:cs="仿宋_GB2312"/>
              <w:b/>
              <w:bCs/>
              <w:sz w:val="28"/>
              <w:szCs w:val="28"/>
            </w:rPr>
            <w:tab/>
          </w:r>
          <w:bookmarkStart w:id="6" w:name="_Toc1571_WPSOffice_Level1Page"/>
          <w:r>
            <w:rPr>
              <w:rFonts w:hint="eastAsia" w:ascii="仿宋_GB2312" w:hAnsi="仿宋_GB2312" w:eastAsia="仿宋_GB2312" w:cs="仿宋_GB2312"/>
              <w:b/>
              <w:bCs/>
              <w:sz w:val="28"/>
              <w:szCs w:val="28"/>
            </w:rPr>
            <w:t>31</w:t>
          </w:r>
          <w:bookmarkEnd w:id="6"/>
          <w:r>
            <w:rPr>
              <w:rFonts w:hint="eastAsia" w:ascii="仿宋_GB2312" w:hAnsi="仿宋_GB2312" w:eastAsia="仿宋_GB2312" w:cs="仿宋_GB2312"/>
              <w:b/>
              <w:bCs/>
              <w:sz w:val="28"/>
              <w:szCs w:val="28"/>
            </w:rPr>
            <w:fldChar w:fldCharType="end"/>
          </w:r>
        </w:p>
        <w:p w14:paraId="138F4153">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_Toc15065_WPSOffice_Level1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71334"/>
              <w:placeholder>
                <w:docPart w:val="{fdd5341b-5a73-400a-9400-40fd51aceecd}"/>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1、投标函</w:t>
              </w:r>
            </w:sdtContent>
          </w:sdt>
          <w:r>
            <w:rPr>
              <w:rFonts w:hint="eastAsia" w:ascii="仿宋_GB2312" w:hAnsi="仿宋_GB2312" w:eastAsia="仿宋_GB2312" w:cs="仿宋_GB2312"/>
              <w:b/>
              <w:bCs/>
              <w:sz w:val="28"/>
              <w:szCs w:val="28"/>
            </w:rPr>
            <w:tab/>
          </w:r>
          <w:bookmarkStart w:id="7" w:name="_Toc15065_WPSOffice_Level1Page"/>
          <w:r>
            <w:rPr>
              <w:rFonts w:hint="eastAsia" w:ascii="仿宋_GB2312" w:hAnsi="仿宋_GB2312" w:eastAsia="仿宋_GB2312" w:cs="仿宋_GB2312"/>
              <w:b/>
              <w:bCs/>
              <w:sz w:val="28"/>
              <w:szCs w:val="28"/>
            </w:rPr>
            <w:t>33</w:t>
          </w:r>
          <w:bookmarkEnd w:id="7"/>
          <w:r>
            <w:rPr>
              <w:rFonts w:hint="eastAsia" w:ascii="仿宋_GB2312" w:hAnsi="仿宋_GB2312" w:eastAsia="仿宋_GB2312" w:cs="仿宋_GB2312"/>
              <w:b/>
              <w:bCs/>
              <w:sz w:val="28"/>
              <w:szCs w:val="28"/>
            </w:rPr>
            <w:fldChar w:fldCharType="end"/>
          </w:r>
        </w:p>
        <w:p w14:paraId="186CBB4D">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_Toc31858_WPSOffice_Level1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56006"/>
              <w:placeholder>
                <w:docPart w:val="{c8d31c09-d53b-47a6-805d-f697f880347d}"/>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2、法定代表人身份证明</w:t>
              </w:r>
            </w:sdtContent>
          </w:sdt>
          <w:r>
            <w:rPr>
              <w:rFonts w:hint="eastAsia" w:ascii="仿宋_GB2312" w:hAnsi="仿宋_GB2312" w:eastAsia="仿宋_GB2312" w:cs="仿宋_GB2312"/>
              <w:b/>
              <w:bCs/>
              <w:sz w:val="28"/>
              <w:szCs w:val="28"/>
            </w:rPr>
            <w:tab/>
          </w:r>
          <w:bookmarkStart w:id="8" w:name="_Toc31858_WPSOffice_Level1Page"/>
          <w:r>
            <w:rPr>
              <w:rFonts w:hint="eastAsia" w:ascii="仿宋_GB2312" w:hAnsi="仿宋_GB2312" w:eastAsia="仿宋_GB2312" w:cs="仿宋_GB2312"/>
              <w:b/>
              <w:bCs/>
              <w:sz w:val="28"/>
              <w:szCs w:val="28"/>
            </w:rPr>
            <w:t>34</w:t>
          </w:r>
          <w:bookmarkEnd w:id="8"/>
          <w:r>
            <w:rPr>
              <w:rFonts w:hint="eastAsia" w:ascii="仿宋_GB2312" w:hAnsi="仿宋_GB2312" w:eastAsia="仿宋_GB2312" w:cs="仿宋_GB2312"/>
              <w:b/>
              <w:bCs/>
              <w:sz w:val="28"/>
              <w:szCs w:val="28"/>
            </w:rPr>
            <w:fldChar w:fldCharType="end"/>
          </w:r>
        </w:p>
        <w:p w14:paraId="266B6272">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_Toc14_WPSOffice_Level1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80194"/>
              <w:placeholder>
                <w:docPart w:val="{ebff3c89-b4c8-46ae-97ac-e8b2495addcb}"/>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3、授权委托书</w:t>
              </w:r>
            </w:sdtContent>
          </w:sdt>
          <w:r>
            <w:rPr>
              <w:rFonts w:hint="eastAsia" w:ascii="仿宋_GB2312" w:hAnsi="仿宋_GB2312" w:eastAsia="仿宋_GB2312" w:cs="仿宋_GB2312"/>
              <w:b/>
              <w:bCs/>
              <w:sz w:val="28"/>
              <w:szCs w:val="28"/>
            </w:rPr>
            <w:tab/>
          </w:r>
          <w:bookmarkStart w:id="9" w:name="_Toc14_WPSOffice_Level1Page"/>
          <w:r>
            <w:rPr>
              <w:rFonts w:hint="eastAsia" w:ascii="仿宋_GB2312" w:hAnsi="仿宋_GB2312" w:eastAsia="仿宋_GB2312" w:cs="仿宋_GB2312"/>
              <w:b/>
              <w:bCs/>
              <w:sz w:val="28"/>
              <w:szCs w:val="28"/>
            </w:rPr>
            <w:t>35</w:t>
          </w:r>
          <w:bookmarkEnd w:id="9"/>
          <w:r>
            <w:rPr>
              <w:rFonts w:hint="eastAsia" w:ascii="仿宋_GB2312" w:hAnsi="仿宋_GB2312" w:eastAsia="仿宋_GB2312" w:cs="仿宋_GB2312"/>
              <w:b/>
              <w:bCs/>
              <w:sz w:val="28"/>
              <w:szCs w:val="28"/>
            </w:rPr>
            <w:fldChar w:fldCharType="end"/>
          </w:r>
        </w:p>
        <w:p w14:paraId="05622C95">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_Toc20722_WPSOffice_Level1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69578"/>
              <w:placeholder>
                <w:docPart w:val="{ec6c8546-bf52-4b04-a1f8-d58ee26a9361}"/>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4、投标保证金</w:t>
              </w:r>
            </w:sdtContent>
          </w:sdt>
          <w:r>
            <w:rPr>
              <w:rFonts w:hint="eastAsia" w:ascii="仿宋_GB2312" w:hAnsi="仿宋_GB2312" w:eastAsia="仿宋_GB2312" w:cs="仿宋_GB2312"/>
              <w:b/>
              <w:bCs/>
              <w:sz w:val="28"/>
              <w:szCs w:val="28"/>
            </w:rPr>
            <w:tab/>
          </w:r>
          <w:bookmarkStart w:id="10" w:name="_Toc20722_WPSOffice_Level1Page"/>
          <w:r>
            <w:rPr>
              <w:rFonts w:hint="eastAsia" w:ascii="仿宋_GB2312" w:hAnsi="仿宋_GB2312" w:eastAsia="仿宋_GB2312" w:cs="仿宋_GB2312"/>
              <w:b/>
              <w:bCs/>
              <w:sz w:val="28"/>
              <w:szCs w:val="28"/>
            </w:rPr>
            <w:t>36</w:t>
          </w:r>
          <w:bookmarkEnd w:id="10"/>
          <w:r>
            <w:rPr>
              <w:rFonts w:hint="eastAsia" w:ascii="仿宋_GB2312" w:hAnsi="仿宋_GB2312" w:eastAsia="仿宋_GB2312" w:cs="仿宋_GB2312"/>
              <w:b/>
              <w:bCs/>
              <w:sz w:val="28"/>
              <w:szCs w:val="28"/>
            </w:rPr>
            <w:fldChar w:fldCharType="end"/>
          </w:r>
        </w:p>
        <w:p w14:paraId="5660DA50">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_Toc27730_WPSOffice_Level1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73353"/>
              <w:placeholder>
                <w:docPart w:val="{cd7df482-2d0d-47bc-9c73-7f2245ce7394}"/>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5、资格审查资料</w:t>
              </w:r>
            </w:sdtContent>
          </w:sdt>
          <w:r>
            <w:rPr>
              <w:rFonts w:hint="eastAsia" w:ascii="仿宋_GB2312" w:hAnsi="仿宋_GB2312" w:eastAsia="仿宋_GB2312" w:cs="仿宋_GB2312"/>
              <w:b/>
              <w:bCs/>
              <w:sz w:val="28"/>
              <w:szCs w:val="28"/>
            </w:rPr>
            <w:tab/>
          </w:r>
          <w:bookmarkStart w:id="11" w:name="_Toc27730_WPSOffice_Level1Page"/>
          <w:r>
            <w:rPr>
              <w:rFonts w:hint="eastAsia" w:ascii="仿宋_GB2312" w:hAnsi="仿宋_GB2312" w:eastAsia="仿宋_GB2312" w:cs="仿宋_GB2312"/>
              <w:b/>
              <w:bCs/>
              <w:sz w:val="28"/>
              <w:szCs w:val="28"/>
            </w:rPr>
            <w:t>36</w:t>
          </w:r>
          <w:bookmarkEnd w:id="11"/>
          <w:r>
            <w:rPr>
              <w:rFonts w:hint="eastAsia" w:ascii="仿宋_GB2312" w:hAnsi="仿宋_GB2312" w:eastAsia="仿宋_GB2312" w:cs="仿宋_GB2312"/>
              <w:b/>
              <w:bCs/>
              <w:sz w:val="28"/>
              <w:szCs w:val="28"/>
            </w:rPr>
            <w:fldChar w:fldCharType="end"/>
          </w:r>
        </w:p>
        <w:p w14:paraId="37FE52F4">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_Toc19580_WPSOffice_Level1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82521"/>
              <w:placeholder>
                <w:docPart w:val="{b985d993-bf46-4bf7-a804-6cac3911529b}"/>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6、报价表</w:t>
              </w:r>
            </w:sdtContent>
          </w:sdt>
          <w:r>
            <w:rPr>
              <w:rFonts w:hint="eastAsia" w:ascii="仿宋_GB2312" w:hAnsi="仿宋_GB2312" w:eastAsia="仿宋_GB2312" w:cs="仿宋_GB2312"/>
              <w:b/>
              <w:bCs/>
              <w:sz w:val="28"/>
              <w:szCs w:val="28"/>
            </w:rPr>
            <w:tab/>
          </w:r>
          <w:bookmarkStart w:id="12" w:name="_Toc19580_WPSOffice_Level1Page"/>
          <w:r>
            <w:rPr>
              <w:rFonts w:hint="eastAsia" w:ascii="仿宋_GB2312" w:hAnsi="仿宋_GB2312" w:eastAsia="仿宋_GB2312" w:cs="仿宋_GB2312"/>
              <w:b/>
              <w:bCs/>
              <w:sz w:val="28"/>
              <w:szCs w:val="28"/>
            </w:rPr>
            <w:t>38</w:t>
          </w:r>
          <w:bookmarkEnd w:id="12"/>
          <w:r>
            <w:rPr>
              <w:rFonts w:hint="eastAsia" w:ascii="仿宋_GB2312" w:hAnsi="仿宋_GB2312" w:eastAsia="仿宋_GB2312" w:cs="仿宋_GB2312"/>
              <w:b/>
              <w:bCs/>
              <w:sz w:val="28"/>
              <w:szCs w:val="28"/>
            </w:rPr>
            <w:fldChar w:fldCharType="end"/>
          </w:r>
        </w:p>
        <w:p w14:paraId="55BA08C2">
          <w:pPr>
            <w:pStyle w:val="203"/>
            <w:tabs>
              <w:tab w:val="right" w:leader="dot" w:pos="9000"/>
            </w:tabs>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_Toc16334_WPSOffice_Level1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70034"/>
              <w:placeholder>
                <w:docPart w:val="{ea41b6b9-b3e2-4665-ba57-84d017007248}"/>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7、商务或技术偏差表</w:t>
              </w:r>
            </w:sdtContent>
          </w:sdt>
          <w:r>
            <w:rPr>
              <w:rFonts w:hint="eastAsia" w:ascii="仿宋_GB2312" w:hAnsi="仿宋_GB2312" w:eastAsia="仿宋_GB2312" w:cs="仿宋_GB2312"/>
              <w:b/>
              <w:bCs/>
              <w:sz w:val="28"/>
              <w:szCs w:val="28"/>
            </w:rPr>
            <w:tab/>
          </w:r>
          <w:bookmarkStart w:id="13" w:name="_Toc16334_WPSOffice_Level1Page"/>
          <w:r>
            <w:rPr>
              <w:rFonts w:hint="eastAsia" w:ascii="仿宋_GB2312" w:hAnsi="仿宋_GB2312" w:eastAsia="仿宋_GB2312" w:cs="仿宋_GB2312"/>
              <w:b/>
              <w:bCs/>
              <w:sz w:val="28"/>
              <w:szCs w:val="28"/>
            </w:rPr>
            <w:t>40</w:t>
          </w:r>
          <w:bookmarkEnd w:id="13"/>
          <w:r>
            <w:rPr>
              <w:rFonts w:hint="eastAsia" w:ascii="仿宋_GB2312" w:hAnsi="仿宋_GB2312" w:eastAsia="仿宋_GB2312" w:cs="仿宋_GB2312"/>
              <w:b/>
              <w:bCs/>
              <w:sz w:val="28"/>
              <w:szCs w:val="28"/>
            </w:rPr>
            <w:fldChar w:fldCharType="end"/>
          </w:r>
        </w:p>
        <w:p w14:paraId="612AA7EE">
          <w:pPr>
            <w:pStyle w:val="203"/>
            <w:tabs>
              <w:tab w:val="right" w:leader="dot" w:pos="9000"/>
            </w:tabs>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_Toc27227_WPSOffice_Level1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sz w:val="28"/>
                <w:szCs w:val="28"/>
                <w:lang w:val="en-US" w:eastAsia="zh-CN" w:bidi="ar-SA"/>
              </w:rPr>
              <w:id w:val="147478713"/>
              <w:placeholder>
                <w:docPart w:val="{2bb8ae50-9b2b-4e83-bd42-d0ed4c0d1e74}"/>
              </w:placeholder>
            </w:sdtPr>
            <w:sdtEndPr>
              <w:rPr>
                <w:rFonts w:hint="eastAsia" w:ascii="仿宋_GB2312" w:hAnsi="仿宋_GB2312" w:eastAsia="仿宋_GB2312" w:cs="仿宋_GB2312"/>
                <w:b/>
                <w:bCs/>
                <w:sz w:val="28"/>
                <w:szCs w:val="28"/>
                <w:lang w:val="en-US" w:eastAsia="zh-CN" w:bidi="ar-SA"/>
              </w:rPr>
            </w:sdtEndPr>
            <w:sdtContent>
              <w:r>
                <w:rPr>
                  <w:rFonts w:hint="eastAsia" w:ascii="仿宋_GB2312" w:hAnsi="仿宋_GB2312" w:eastAsia="仿宋_GB2312" w:cs="仿宋_GB2312"/>
                  <w:b/>
                  <w:bCs/>
                  <w:sz w:val="28"/>
                  <w:szCs w:val="28"/>
                </w:rPr>
                <w:t>8、投标人认为应补充的其他资料</w:t>
              </w:r>
            </w:sdtContent>
          </w:sdt>
          <w:r>
            <w:rPr>
              <w:rFonts w:hint="eastAsia" w:ascii="仿宋_GB2312" w:hAnsi="仿宋_GB2312" w:eastAsia="仿宋_GB2312" w:cs="仿宋_GB2312"/>
              <w:b/>
              <w:bCs/>
              <w:sz w:val="28"/>
              <w:szCs w:val="28"/>
            </w:rPr>
            <w:tab/>
          </w:r>
          <w:bookmarkStart w:id="14" w:name="_Toc27227_WPSOffice_Level1Page"/>
          <w:r>
            <w:rPr>
              <w:rFonts w:hint="eastAsia" w:ascii="仿宋_GB2312" w:hAnsi="仿宋_GB2312" w:eastAsia="仿宋_GB2312" w:cs="仿宋_GB2312"/>
              <w:b/>
              <w:bCs/>
              <w:sz w:val="28"/>
              <w:szCs w:val="28"/>
            </w:rPr>
            <w:t>40</w:t>
          </w:r>
          <w:bookmarkEnd w:id="14"/>
          <w:r>
            <w:rPr>
              <w:rFonts w:hint="eastAsia" w:ascii="仿宋_GB2312" w:hAnsi="仿宋_GB2312" w:eastAsia="仿宋_GB2312" w:cs="仿宋_GB2312"/>
              <w:b/>
              <w:bCs/>
              <w:sz w:val="28"/>
              <w:szCs w:val="28"/>
            </w:rPr>
            <w:fldChar w:fldCharType="end"/>
          </w:r>
          <w:bookmarkEnd w:id="0"/>
        </w:p>
      </w:sdtContent>
    </w:sdt>
    <w:p w14:paraId="46B9D937">
      <w:pPr>
        <w:pStyle w:val="45"/>
        <w:rPr>
          <w:rFonts w:hint="eastAsia"/>
        </w:rPr>
      </w:pPr>
    </w:p>
    <w:p w14:paraId="1B883F51">
      <w:pPr>
        <w:spacing w:line="300" w:lineRule="auto"/>
        <w:jc w:val="center"/>
        <w:rPr>
          <w:rFonts w:hint="eastAsia" w:ascii="黑体" w:hAnsi="黑体" w:eastAsia="黑体"/>
          <w:b/>
          <w:color w:val="000000"/>
          <w:sz w:val="36"/>
          <w:szCs w:val="36"/>
        </w:rPr>
        <w:sectPr>
          <w:footerReference r:id="rId4" w:type="default"/>
          <w:pgSz w:w="11906" w:h="16838"/>
          <w:pgMar w:top="1440" w:right="1466" w:bottom="1440" w:left="1440" w:header="851" w:footer="992" w:gutter="0"/>
          <w:pgNumType w:fmt="decimal" w:start="1"/>
          <w:cols w:space="720" w:num="1"/>
          <w:docGrid w:type="linesAndChars" w:linePitch="312" w:charSpace="0"/>
        </w:sectPr>
      </w:pPr>
      <w:bookmarkStart w:id="15" w:name="_Toc18900_WPSOffice_Level1"/>
    </w:p>
    <w:p w14:paraId="51B57767">
      <w:pPr>
        <w:spacing w:line="300" w:lineRule="auto"/>
        <w:jc w:val="center"/>
        <w:rPr>
          <w:rFonts w:hint="eastAsia" w:ascii="黑体" w:hAnsi="黑体" w:eastAsia="黑体"/>
          <w:b/>
          <w:color w:val="000000"/>
          <w:sz w:val="36"/>
          <w:szCs w:val="36"/>
        </w:rPr>
      </w:pPr>
      <w:bookmarkStart w:id="16" w:name="_Toc5950_WPSOffice_Level1"/>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17" w:name="_Toc446434284"/>
      <w:bookmarkEnd w:id="17"/>
      <w:r>
        <w:rPr>
          <w:rFonts w:hint="eastAsia" w:ascii="黑体" w:hAnsi="黑体" w:eastAsia="黑体"/>
          <w:b/>
          <w:color w:val="000000"/>
          <w:sz w:val="36"/>
          <w:szCs w:val="36"/>
        </w:rPr>
        <w:t xml:space="preserve">  招标公告</w:t>
      </w:r>
      <w:bookmarkEnd w:id="15"/>
      <w:bookmarkEnd w:id="16"/>
    </w:p>
    <w:p w14:paraId="22187E05">
      <w:pPr>
        <w:widowControl w:val="0"/>
        <w:spacing w:line="360" w:lineRule="auto"/>
        <w:rPr>
          <w:rFonts w:cs="Times New Roman"/>
          <w:b/>
          <w:bCs/>
          <w:kern w:val="2"/>
          <w:szCs w:val="22"/>
        </w:rPr>
      </w:pPr>
      <w:r>
        <w:rPr>
          <w:rFonts w:cs="Times New Roman"/>
          <w:b/>
          <w:bCs/>
          <w:kern w:val="2"/>
          <w:szCs w:val="22"/>
        </w:rPr>
        <w:t>一、</w:t>
      </w:r>
      <w:r>
        <w:rPr>
          <w:rFonts w:hint="eastAsia" w:cs="Times New Roman"/>
          <w:b/>
          <w:bCs/>
          <w:kern w:val="2"/>
          <w:szCs w:val="22"/>
        </w:rPr>
        <w:t>招标</w:t>
      </w:r>
      <w:r>
        <w:rPr>
          <w:rFonts w:cs="Times New Roman"/>
          <w:b/>
          <w:bCs/>
          <w:kern w:val="2"/>
          <w:szCs w:val="22"/>
        </w:rPr>
        <w:t>编号：</w:t>
      </w:r>
      <w:r>
        <w:rPr>
          <w:rFonts w:hint="eastAsia" w:cs="Times New Roman"/>
          <w:b/>
          <w:bCs/>
          <w:kern w:val="2"/>
          <w:szCs w:val="22"/>
        </w:rPr>
        <w:t>1171260617001</w:t>
      </w:r>
    </w:p>
    <w:p w14:paraId="5C7077FC">
      <w:pPr>
        <w:widowControl w:val="0"/>
        <w:spacing w:line="360" w:lineRule="auto"/>
        <w:rPr>
          <w:rFonts w:hint="eastAsia" w:eastAsia="宋体" w:cs="Times New Roman"/>
          <w:b/>
          <w:bCs/>
          <w:kern w:val="2"/>
          <w:szCs w:val="22"/>
          <w:lang w:eastAsia="zh-CN"/>
        </w:rPr>
      </w:pPr>
      <w:r>
        <w:rPr>
          <w:rFonts w:cs="Times New Roman"/>
          <w:b/>
          <w:bCs/>
          <w:kern w:val="2"/>
          <w:szCs w:val="22"/>
        </w:rPr>
        <w:t>二、</w:t>
      </w:r>
      <w:r>
        <w:rPr>
          <w:rFonts w:hint="eastAsia" w:cs="Times New Roman"/>
          <w:b/>
          <w:bCs/>
          <w:kern w:val="2"/>
          <w:szCs w:val="22"/>
        </w:rPr>
        <w:t>招标项目</w:t>
      </w:r>
      <w:r>
        <w:rPr>
          <w:rFonts w:cs="Times New Roman"/>
          <w:b/>
          <w:bCs/>
          <w:kern w:val="2"/>
          <w:szCs w:val="22"/>
        </w:rPr>
        <w:t>名称：</w:t>
      </w:r>
      <w:r>
        <w:rPr>
          <w:rFonts w:hint="eastAsia" w:cs="Times New Roman"/>
          <w:b/>
          <w:bCs/>
          <w:kern w:val="2"/>
          <w:szCs w:val="22"/>
          <w:lang w:val="en-US" w:eastAsia="zh-CN"/>
        </w:rPr>
        <w:t>起重机械</w:t>
      </w:r>
      <w:r>
        <w:rPr>
          <w:rFonts w:hint="eastAsia" w:cs="Times New Roman"/>
          <w:b/>
          <w:bCs/>
          <w:kern w:val="2"/>
          <w:szCs w:val="22"/>
          <w:lang w:eastAsia="zh-CN"/>
        </w:rPr>
        <w:t>维修保养服务</w:t>
      </w:r>
    </w:p>
    <w:p w14:paraId="6BD5985A">
      <w:pPr>
        <w:widowControl w:val="0"/>
        <w:spacing w:line="360" w:lineRule="auto"/>
        <w:rPr>
          <w:rFonts w:hint="eastAsia" w:cs="Times New Roman"/>
          <w:b/>
          <w:bCs/>
          <w:kern w:val="2"/>
          <w:szCs w:val="22"/>
          <w:lang w:val="zh-CN"/>
        </w:rPr>
      </w:pPr>
      <w:r>
        <w:rPr>
          <w:rFonts w:hint="eastAsia" w:cs="Times New Roman"/>
          <w:b/>
          <w:bCs/>
          <w:kern w:val="2"/>
          <w:szCs w:val="22"/>
        </w:rPr>
        <w:t>三、</w:t>
      </w:r>
      <w:r>
        <w:rPr>
          <w:rFonts w:hint="eastAsia" w:cs="Times New Roman"/>
          <w:b/>
          <w:bCs/>
          <w:kern w:val="2"/>
          <w:szCs w:val="22"/>
          <w:lang w:val="zh-CN"/>
        </w:rPr>
        <w:t>项目概况与范围</w:t>
      </w:r>
    </w:p>
    <w:p w14:paraId="4A14A159">
      <w:pPr>
        <w:spacing w:line="360" w:lineRule="auto"/>
        <w:ind w:firstLine="480" w:firstLineChars="200"/>
        <w:rPr>
          <w:rFonts w:hint="eastAsia"/>
          <w:lang w:val="en-US" w:eastAsia="zh-CN"/>
        </w:rPr>
      </w:pPr>
      <w:r>
        <w:rPr>
          <w:rFonts w:hint="eastAsia"/>
          <w:lang w:val="en-US" w:eastAsia="zh-CN"/>
        </w:rPr>
        <w:t>1、山东济钢环保新材料有限公司现有4台起重机械，现对其起重机械维修保养服务进行招标。</w:t>
      </w:r>
    </w:p>
    <w:p w14:paraId="51EE23AC">
      <w:pPr>
        <w:numPr>
          <w:ilvl w:val="0"/>
          <w:numId w:val="0"/>
        </w:numPr>
        <w:tabs>
          <w:tab w:val="left" w:pos="0"/>
        </w:tabs>
        <w:spacing w:line="360" w:lineRule="auto"/>
        <w:ind w:left="0" w:leftChars="0" w:firstLine="480" w:firstLineChars="200"/>
        <w:rPr>
          <w:rFonts w:hint="eastAsia"/>
          <w:lang w:val="en-US" w:eastAsia="zh-CN"/>
        </w:rPr>
      </w:pPr>
      <w:r>
        <w:rPr>
          <w:rFonts w:hint="eastAsia"/>
          <w:lang w:val="en-US" w:eastAsia="zh-CN"/>
        </w:rPr>
        <w:t>2、维修周期为签订合同后15个日历天。</w:t>
      </w:r>
    </w:p>
    <w:p w14:paraId="16EE9D93">
      <w:pPr>
        <w:numPr>
          <w:ilvl w:val="0"/>
          <w:numId w:val="0"/>
        </w:numPr>
        <w:tabs>
          <w:tab w:val="left" w:pos="0"/>
        </w:tabs>
        <w:spacing w:line="360" w:lineRule="auto"/>
        <w:ind w:left="0" w:leftChars="0" w:firstLine="480" w:firstLineChars="200"/>
        <w:rPr>
          <w:rFonts w:hint="default"/>
          <w:lang w:val="en-US" w:eastAsia="zh-CN"/>
        </w:rPr>
      </w:pPr>
      <w:r>
        <w:rPr>
          <w:rFonts w:hint="eastAsia" w:cs="宋体"/>
          <w:sz w:val="24"/>
          <w:szCs w:val="24"/>
          <w:lang w:val="en-US" w:eastAsia="zh-CN" w:bidi="ar-SA"/>
        </w:rPr>
        <w:t>3</w:t>
      </w:r>
      <w:r>
        <w:rPr>
          <w:rFonts w:hint="default" w:ascii="宋体" w:hAnsi="宋体" w:eastAsia="宋体" w:cs="宋体"/>
          <w:sz w:val="24"/>
          <w:szCs w:val="24"/>
          <w:lang w:val="en-US" w:eastAsia="zh-CN" w:bidi="ar-SA"/>
        </w:rPr>
        <w:t>、</w:t>
      </w:r>
      <w:r>
        <w:rPr>
          <w:rFonts w:hint="eastAsia"/>
          <w:lang w:val="en-US" w:eastAsia="zh-CN"/>
        </w:rPr>
        <w:t>维修保养项目</w:t>
      </w:r>
    </w:p>
    <w:tbl>
      <w:tblPr>
        <w:tblStyle w:val="47"/>
        <w:tblpPr w:leftFromText="180" w:rightFromText="180" w:vertAnchor="text" w:horzAnchor="page" w:tblpX="1013" w:tblpY="367"/>
        <w:tblOverlap w:val="never"/>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329"/>
        <w:gridCol w:w="1832"/>
        <w:gridCol w:w="1908"/>
        <w:gridCol w:w="2853"/>
        <w:gridCol w:w="1087"/>
      </w:tblGrid>
      <w:tr w14:paraId="6359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89" w:type="dxa"/>
            <w:noWrap w:val="0"/>
            <w:vAlign w:val="center"/>
          </w:tcPr>
          <w:p w14:paraId="22B0F3FC">
            <w:pPr>
              <w:ind w:left="0" w:leftChars="0"/>
              <w:jc w:val="center"/>
              <w:rPr>
                <w:rFonts w:hint="eastAsia" w:ascii="宋体" w:hAnsi="宋体" w:eastAsia="宋体" w:cs="宋体"/>
                <w:sz w:val="24"/>
                <w:szCs w:val="24"/>
                <w:vertAlign w:val="baseline"/>
                <w:lang w:val="en-US" w:eastAsia="zh-CN"/>
              </w:rPr>
            </w:pPr>
            <w:bookmarkStart w:id="18" w:name="OLE_LINK7"/>
            <w:r>
              <w:rPr>
                <w:rFonts w:hint="eastAsia" w:ascii="宋体" w:hAnsi="宋体" w:eastAsia="宋体" w:cs="宋体"/>
                <w:sz w:val="24"/>
                <w:szCs w:val="24"/>
                <w:vertAlign w:val="baseline"/>
                <w:lang w:val="en-US" w:eastAsia="zh-CN"/>
              </w:rPr>
              <w:t>序号</w:t>
            </w:r>
          </w:p>
        </w:tc>
        <w:tc>
          <w:tcPr>
            <w:tcW w:w="1329" w:type="dxa"/>
            <w:noWrap w:val="0"/>
            <w:vAlign w:val="center"/>
          </w:tcPr>
          <w:p w14:paraId="1D77C49F">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832" w:type="dxa"/>
            <w:noWrap w:val="0"/>
            <w:vAlign w:val="center"/>
          </w:tcPr>
          <w:p w14:paraId="3A61E6EA">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设备品牌</w:t>
            </w:r>
          </w:p>
          <w:p w14:paraId="74B4DB42">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及参数</w:t>
            </w:r>
          </w:p>
        </w:tc>
        <w:tc>
          <w:tcPr>
            <w:tcW w:w="1908" w:type="dxa"/>
            <w:noWrap w:val="0"/>
            <w:vAlign w:val="center"/>
          </w:tcPr>
          <w:p w14:paraId="05D1155B">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设备安装位置</w:t>
            </w:r>
          </w:p>
        </w:tc>
        <w:tc>
          <w:tcPr>
            <w:tcW w:w="2853" w:type="dxa"/>
            <w:noWrap w:val="0"/>
            <w:vAlign w:val="center"/>
          </w:tcPr>
          <w:p w14:paraId="274D9319">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设备故障说明</w:t>
            </w:r>
          </w:p>
        </w:tc>
        <w:tc>
          <w:tcPr>
            <w:tcW w:w="1087" w:type="dxa"/>
            <w:noWrap w:val="0"/>
            <w:vAlign w:val="center"/>
          </w:tcPr>
          <w:p w14:paraId="77D03B56">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设备维护数量</w:t>
            </w:r>
          </w:p>
        </w:tc>
      </w:tr>
      <w:tr w14:paraId="5793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89" w:type="dxa"/>
            <w:noWrap w:val="0"/>
            <w:vAlign w:val="center"/>
          </w:tcPr>
          <w:p w14:paraId="28BC8CE9">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29" w:type="dxa"/>
            <w:shd w:val="clear" w:color="auto" w:fill="auto"/>
            <w:noWrap w:val="0"/>
            <w:vAlign w:val="center"/>
          </w:tcPr>
          <w:p w14:paraId="2CF7C65D">
            <w:pPr>
              <w:ind w:left="0" w:leftChars="0"/>
              <w:jc w:val="center"/>
              <w:rPr>
                <w:rFonts w:hint="eastAsia" w:ascii="宋体" w:hAnsi="宋体" w:eastAsia="宋体" w:cs="宋体"/>
                <w:i w:val="0"/>
                <w:iCs w:val="0"/>
                <w:color w:val="000000"/>
                <w:sz w:val="24"/>
                <w:szCs w:val="24"/>
                <w:u w:val="none"/>
                <w:lang w:val="en-US" w:eastAsia="zh-CN" w:bidi="ar-SA"/>
              </w:rPr>
            </w:pPr>
            <w:r>
              <w:rPr>
                <w:rFonts w:hint="eastAsia" w:cs="宋体"/>
                <w:sz w:val="24"/>
                <w:szCs w:val="24"/>
                <w:vertAlign w:val="baseline"/>
                <w:lang w:val="en-US" w:eastAsia="zh-CN"/>
              </w:rPr>
              <w:t>双梁</w:t>
            </w:r>
            <w:r>
              <w:rPr>
                <w:rFonts w:hint="eastAsia" w:ascii="宋体" w:hAnsi="宋体" w:eastAsia="宋体" w:cs="宋体"/>
                <w:sz w:val="24"/>
                <w:szCs w:val="24"/>
                <w:vertAlign w:val="baseline"/>
                <w:lang w:val="en-US" w:eastAsia="zh-CN"/>
              </w:rPr>
              <w:t>桥式起重机</w:t>
            </w:r>
          </w:p>
        </w:tc>
        <w:tc>
          <w:tcPr>
            <w:tcW w:w="1832" w:type="dxa"/>
            <w:noWrap w:val="0"/>
            <w:vAlign w:val="center"/>
          </w:tcPr>
          <w:p w14:paraId="6923B8E8">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QD32/10-16.615A5</w:t>
            </w:r>
          </w:p>
        </w:tc>
        <w:tc>
          <w:tcPr>
            <w:tcW w:w="1908" w:type="dxa"/>
            <w:noWrap w:val="0"/>
            <w:vAlign w:val="center"/>
          </w:tcPr>
          <w:p w14:paraId="4F08F388">
            <w:pPr>
              <w:ind w:left="0" w:leftChars="0"/>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检修车间南跨</w:t>
            </w:r>
          </w:p>
        </w:tc>
        <w:tc>
          <w:tcPr>
            <w:tcW w:w="2853" w:type="dxa"/>
            <w:noWrap w:val="0"/>
            <w:vAlign w:val="center"/>
          </w:tcPr>
          <w:p w14:paraId="431D2DC6">
            <w:pPr>
              <w:ind w:left="0" w:leftChars="0"/>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主钩下限位失效，主副钩减速机及其他运转部位加注润滑脂</w:t>
            </w:r>
          </w:p>
        </w:tc>
        <w:tc>
          <w:tcPr>
            <w:tcW w:w="1087" w:type="dxa"/>
            <w:noWrap w:val="0"/>
            <w:vAlign w:val="center"/>
          </w:tcPr>
          <w:p w14:paraId="4C292473">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r>
      <w:tr w14:paraId="1E36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89" w:type="dxa"/>
            <w:noWrap w:val="0"/>
            <w:vAlign w:val="center"/>
          </w:tcPr>
          <w:p w14:paraId="06B4EA7A">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29" w:type="dxa"/>
            <w:noWrap w:val="0"/>
            <w:vAlign w:val="center"/>
          </w:tcPr>
          <w:p w14:paraId="3BA19868">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电动单梁起重机</w:t>
            </w:r>
          </w:p>
        </w:tc>
        <w:tc>
          <w:tcPr>
            <w:tcW w:w="1832" w:type="dxa"/>
            <w:noWrap w:val="0"/>
            <w:vAlign w:val="center"/>
          </w:tcPr>
          <w:p w14:paraId="4B25F869">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LD5-10.5A3</w:t>
            </w:r>
          </w:p>
        </w:tc>
        <w:tc>
          <w:tcPr>
            <w:tcW w:w="1908" w:type="dxa"/>
            <w:noWrap w:val="0"/>
            <w:vAlign w:val="center"/>
          </w:tcPr>
          <w:p w14:paraId="5A4CE2B2">
            <w:pPr>
              <w:ind w:left="0" w:leftChars="0"/>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检修车间北跨</w:t>
            </w:r>
          </w:p>
        </w:tc>
        <w:tc>
          <w:tcPr>
            <w:tcW w:w="2853" w:type="dxa"/>
            <w:noWrap w:val="0"/>
            <w:vAlign w:val="center"/>
          </w:tcPr>
          <w:p w14:paraId="0B7E980A">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下降限位</w:t>
            </w:r>
            <w:r>
              <w:rPr>
                <w:rFonts w:hint="eastAsia" w:cs="宋体"/>
                <w:sz w:val="24"/>
                <w:szCs w:val="24"/>
                <w:vertAlign w:val="baseline"/>
                <w:lang w:val="en-US" w:eastAsia="zh-CN"/>
              </w:rPr>
              <w:t>失效，南北运行无限位装置，其他运转部位加注润滑脂</w:t>
            </w:r>
          </w:p>
        </w:tc>
        <w:tc>
          <w:tcPr>
            <w:tcW w:w="1087" w:type="dxa"/>
            <w:noWrap w:val="0"/>
            <w:vAlign w:val="center"/>
          </w:tcPr>
          <w:p w14:paraId="479AC04E">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r>
      <w:tr w14:paraId="7324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89" w:type="dxa"/>
            <w:noWrap w:val="0"/>
            <w:vAlign w:val="center"/>
          </w:tcPr>
          <w:p w14:paraId="492BC74D">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329" w:type="dxa"/>
            <w:noWrap w:val="0"/>
            <w:vAlign w:val="center"/>
          </w:tcPr>
          <w:p w14:paraId="31D853A2">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双梁桥式起重机</w:t>
            </w:r>
          </w:p>
        </w:tc>
        <w:tc>
          <w:tcPr>
            <w:tcW w:w="1832" w:type="dxa"/>
            <w:noWrap w:val="0"/>
            <w:vAlign w:val="center"/>
          </w:tcPr>
          <w:p w14:paraId="1FF56CC2">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QD型5-25</w:t>
            </w:r>
          </w:p>
        </w:tc>
        <w:tc>
          <w:tcPr>
            <w:tcW w:w="1908" w:type="dxa"/>
            <w:noWrap w:val="0"/>
            <w:vAlign w:val="center"/>
          </w:tcPr>
          <w:p w14:paraId="2D224E22">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一线破碎机房</w:t>
            </w:r>
          </w:p>
        </w:tc>
        <w:tc>
          <w:tcPr>
            <w:tcW w:w="2853" w:type="dxa"/>
            <w:noWrap w:val="0"/>
            <w:vAlign w:val="center"/>
          </w:tcPr>
          <w:p w14:paraId="4FDA069B">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起重机大钩起重物，起升正常、下降失速自锁</w:t>
            </w:r>
            <w:r>
              <w:rPr>
                <w:rFonts w:hint="eastAsia" w:cs="宋体"/>
                <w:sz w:val="24"/>
                <w:szCs w:val="24"/>
                <w:vertAlign w:val="baseline"/>
                <w:lang w:val="en-US" w:eastAsia="zh-CN"/>
              </w:rPr>
              <w:t>，其他运转部位加注润滑脂</w:t>
            </w:r>
          </w:p>
        </w:tc>
        <w:tc>
          <w:tcPr>
            <w:tcW w:w="1087" w:type="dxa"/>
            <w:noWrap w:val="0"/>
            <w:vAlign w:val="center"/>
          </w:tcPr>
          <w:p w14:paraId="75AF89DE">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r>
      <w:tr w14:paraId="518F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89" w:type="dxa"/>
            <w:noWrap w:val="0"/>
            <w:vAlign w:val="center"/>
          </w:tcPr>
          <w:p w14:paraId="233F43A8">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329" w:type="dxa"/>
            <w:noWrap w:val="0"/>
            <w:vAlign w:val="center"/>
          </w:tcPr>
          <w:p w14:paraId="0DEF86EF">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电动单梁起重机</w:t>
            </w:r>
          </w:p>
        </w:tc>
        <w:tc>
          <w:tcPr>
            <w:tcW w:w="1832" w:type="dxa"/>
            <w:noWrap w:val="0"/>
            <w:vAlign w:val="center"/>
          </w:tcPr>
          <w:p w14:paraId="3B1F99BA">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LD5-10.5A3</w:t>
            </w:r>
          </w:p>
        </w:tc>
        <w:tc>
          <w:tcPr>
            <w:tcW w:w="1908" w:type="dxa"/>
            <w:noWrap w:val="0"/>
            <w:vAlign w:val="center"/>
          </w:tcPr>
          <w:p w14:paraId="47273FBF">
            <w:pPr>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矿山仓库</w:t>
            </w:r>
          </w:p>
        </w:tc>
        <w:tc>
          <w:tcPr>
            <w:tcW w:w="2853" w:type="dxa"/>
            <w:noWrap w:val="0"/>
            <w:vAlign w:val="center"/>
          </w:tcPr>
          <w:p w14:paraId="5C1013A3">
            <w:pPr>
              <w:ind w:left="0" w:left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大车行走限位一侧缺失</w:t>
            </w:r>
            <w:r>
              <w:rPr>
                <w:rFonts w:hint="eastAsia" w:cs="宋体"/>
                <w:sz w:val="24"/>
                <w:szCs w:val="24"/>
                <w:vertAlign w:val="baseline"/>
                <w:lang w:val="en-US" w:eastAsia="zh-CN"/>
              </w:rPr>
              <w:t>，其他运转部位加注润滑脂</w:t>
            </w:r>
          </w:p>
        </w:tc>
        <w:tc>
          <w:tcPr>
            <w:tcW w:w="1087" w:type="dxa"/>
            <w:noWrap w:val="0"/>
            <w:vAlign w:val="center"/>
          </w:tcPr>
          <w:p w14:paraId="132E44B1">
            <w:pPr>
              <w:ind w:left="0" w:left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1台</w:t>
            </w:r>
          </w:p>
        </w:tc>
      </w:tr>
      <w:bookmarkEnd w:id="18"/>
    </w:tbl>
    <w:p w14:paraId="2D31FB9A">
      <w:pPr>
        <w:numPr>
          <w:ilvl w:val="0"/>
          <w:numId w:val="0"/>
        </w:numPr>
        <w:tabs>
          <w:tab w:val="left" w:pos="0"/>
        </w:tabs>
        <w:spacing w:line="360" w:lineRule="auto"/>
        <w:rPr>
          <w:rFonts w:hint="default"/>
          <w:lang w:val="en-US" w:eastAsia="zh-CN"/>
        </w:rPr>
      </w:pPr>
    </w:p>
    <w:p w14:paraId="71B82877">
      <w:pPr>
        <w:numPr>
          <w:ilvl w:val="0"/>
          <w:numId w:val="0"/>
        </w:numPr>
        <w:tabs>
          <w:tab w:val="left" w:pos="0"/>
        </w:tabs>
        <w:spacing w:line="360" w:lineRule="auto"/>
        <w:ind w:left="0" w:leftChars="0" w:firstLine="480" w:firstLineChars="200"/>
        <w:rPr>
          <w:rFonts w:hint="eastAsia"/>
          <w:lang w:val="zh-CN" w:eastAsia="zh-CN"/>
        </w:rPr>
      </w:pPr>
      <w:r>
        <w:rPr>
          <w:rFonts w:hint="eastAsia" w:cs="宋体"/>
          <w:sz w:val="24"/>
          <w:szCs w:val="24"/>
          <w:lang w:val="en-US" w:eastAsia="zh-CN" w:bidi="ar-SA"/>
        </w:rPr>
        <w:t>4</w:t>
      </w:r>
      <w:r>
        <w:rPr>
          <w:rFonts w:hint="default" w:ascii="宋体" w:hAnsi="宋体" w:eastAsia="宋体" w:cs="宋体"/>
          <w:sz w:val="24"/>
          <w:szCs w:val="24"/>
          <w:lang w:val="zh-CN" w:eastAsia="zh-CN" w:bidi="ar-SA"/>
        </w:rPr>
        <w:t>、</w:t>
      </w:r>
      <w:r>
        <w:rPr>
          <w:rFonts w:hint="eastAsia"/>
          <w:lang w:val="zh-CN" w:eastAsia="zh-CN"/>
        </w:rPr>
        <w:t>润滑油及黄油费用由</w:t>
      </w:r>
      <w:r>
        <w:rPr>
          <w:rFonts w:hint="eastAsia"/>
          <w:lang w:val="en-US" w:eastAsia="zh-CN"/>
        </w:rPr>
        <w:t>厂家提供</w:t>
      </w:r>
      <w:r>
        <w:rPr>
          <w:rFonts w:hint="eastAsia"/>
          <w:lang w:val="zh-CN" w:eastAsia="zh-CN"/>
        </w:rPr>
        <w:t>；</w:t>
      </w:r>
    </w:p>
    <w:p w14:paraId="65E679CE">
      <w:pPr>
        <w:numPr>
          <w:ilvl w:val="0"/>
          <w:numId w:val="0"/>
        </w:numPr>
        <w:tabs>
          <w:tab w:val="left" w:pos="0"/>
        </w:tabs>
        <w:spacing w:line="360" w:lineRule="auto"/>
        <w:ind w:left="0" w:leftChars="0" w:firstLine="480" w:firstLineChars="200"/>
        <w:rPr>
          <w:rFonts w:hint="eastAsia"/>
          <w:lang w:val="zh-CN" w:eastAsia="zh-CN"/>
        </w:rPr>
      </w:pPr>
      <w:r>
        <w:rPr>
          <w:rFonts w:hint="eastAsia" w:cs="宋体"/>
          <w:sz w:val="24"/>
          <w:szCs w:val="24"/>
          <w:lang w:val="en-US" w:eastAsia="zh-CN" w:bidi="ar-SA"/>
        </w:rPr>
        <w:t>5</w:t>
      </w:r>
      <w:r>
        <w:rPr>
          <w:rFonts w:hint="default" w:ascii="宋体" w:hAnsi="宋体" w:eastAsia="宋体" w:cs="宋体"/>
          <w:sz w:val="24"/>
          <w:szCs w:val="24"/>
          <w:lang w:val="zh-CN" w:eastAsia="zh-CN" w:bidi="ar-SA"/>
        </w:rPr>
        <w:t>、</w:t>
      </w:r>
      <w:r>
        <w:rPr>
          <w:rFonts w:hint="eastAsia"/>
          <w:lang w:val="en-US" w:eastAsia="zh-CN"/>
        </w:rPr>
        <w:t>维修后开具</w:t>
      </w:r>
      <w:r>
        <w:rPr>
          <w:rFonts w:hint="eastAsia"/>
          <w:lang w:val="zh-CN" w:eastAsia="zh-CN"/>
        </w:rPr>
        <w:t>增值税</w:t>
      </w:r>
      <w:r>
        <w:rPr>
          <w:rFonts w:hint="eastAsia"/>
          <w:lang w:val="en-US" w:eastAsia="zh-CN"/>
        </w:rPr>
        <w:t>专用发票</w:t>
      </w:r>
      <w:r>
        <w:rPr>
          <w:rFonts w:hint="eastAsia"/>
          <w:lang w:val="zh-CN" w:eastAsia="zh-CN"/>
        </w:rPr>
        <w:t>，</w:t>
      </w:r>
      <w:r>
        <w:rPr>
          <w:rFonts w:hint="eastAsia"/>
          <w:lang w:val="en-US" w:eastAsia="zh-CN"/>
        </w:rPr>
        <w:t>电汇结算</w:t>
      </w:r>
      <w:r>
        <w:rPr>
          <w:rFonts w:hint="eastAsia"/>
          <w:lang w:val="zh-CN" w:eastAsia="zh-CN"/>
        </w:rPr>
        <w:t>。</w:t>
      </w:r>
    </w:p>
    <w:p w14:paraId="426332F6">
      <w:pPr>
        <w:numPr>
          <w:ilvl w:val="0"/>
          <w:numId w:val="0"/>
        </w:numPr>
        <w:tabs>
          <w:tab w:val="left" w:pos="0"/>
        </w:tabs>
        <w:spacing w:line="360" w:lineRule="auto"/>
        <w:ind w:left="0" w:leftChars="0" w:firstLine="480" w:firstLineChars="200"/>
        <w:rPr>
          <w:rFonts w:hint="eastAsia"/>
          <w:lang w:val="zh-CN" w:eastAsia="zh-CN"/>
        </w:rPr>
      </w:pPr>
      <w:r>
        <w:rPr>
          <w:rFonts w:hint="eastAsia" w:cs="宋体"/>
          <w:sz w:val="24"/>
          <w:szCs w:val="24"/>
          <w:lang w:val="en-US" w:eastAsia="zh-CN" w:bidi="ar-SA"/>
        </w:rPr>
        <w:t>6</w:t>
      </w:r>
      <w:r>
        <w:rPr>
          <w:rFonts w:hint="default" w:ascii="宋体" w:hAnsi="宋体" w:eastAsia="宋体" w:cs="宋体"/>
          <w:sz w:val="24"/>
          <w:szCs w:val="24"/>
          <w:lang w:val="zh-CN" w:eastAsia="zh-CN" w:bidi="ar-SA"/>
        </w:rPr>
        <w:t>、</w:t>
      </w:r>
      <w:r>
        <w:rPr>
          <w:rFonts w:hint="eastAsia"/>
          <w:lang w:val="zh-CN" w:eastAsia="zh-CN"/>
        </w:rPr>
        <w:t>承包方式：包工包料</w:t>
      </w:r>
    </w:p>
    <w:p w14:paraId="520C8750">
      <w:pPr>
        <w:numPr>
          <w:ilvl w:val="0"/>
          <w:numId w:val="0"/>
        </w:numPr>
        <w:tabs>
          <w:tab w:val="left" w:pos="0"/>
        </w:tabs>
        <w:spacing w:line="360" w:lineRule="auto"/>
        <w:ind w:left="0" w:leftChars="0" w:firstLine="480" w:firstLineChars="200"/>
        <w:rPr>
          <w:rFonts w:hint="eastAsia" w:ascii="宋体" w:hAnsi="宋体" w:eastAsia="宋体" w:cs="宋体"/>
          <w:lang w:val="zh-CN" w:eastAsia="zh-CN"/>
        </w:rPr>
      </w:pPr>
      <w:r>
        <w:rPr>
          <w:rFonts w:hint="default" w:ascii="宋体" w:hAnsi="宋体" w:eastAsia="宋体" w:cs="宋体"/>
          <w:sz w:val="24"/>
          <w:szCs w:val="24"/>
          <w:lang w:val="zh-CN" w:eastAsia="zh-CN" w:bidi="ar-SA"/>
        </w:rPr>
        <w:t>8、</w:t>
      </w:r>
      <w:r>
        <w:rPr>
          <w:rFonts w:hint="eastAsia"/>
          <w:lang w:val="en-US" w:eastAsia="zh-CN"/>
        </w:rPr>
        <w:t>保养与维护</w:t>
      </w:r>
      <w:r>
        <w:rPr>
          <w:rFonts w:hint="eastAsia"/>
          <w:lang w:val="zh-CN" w:eastAsia="zh-CN"/>
        </w:rPr>
        <w:t>：</w:t>
      </w:r>
      <w:r>
        <w:rPr>
          <w:rFonts w:hint="eastAsia" w:ascii="宋体" w:hAnsi="宋体" w:eastAsia="宋体" w:cs="宋体"/>
          <w:lang w:val="en-US" w:eastAsia="zh-CN"/>
        </w:rPr>
        <w:t>承揽方（乙方）</w:t>
      </w:r>
      <w:r>
        <w:rPr>
          <w:rFonts w:hint="eastAsia" w:ascii="宋体" w:hAnsi="宋体" w:eastAsia="宋体" w:cs="宋体"/>
          <w:lang w:val="zh-CN" w:eastAsia="zh-CN"/>
        </w:rPr>
        <w:t>保证不会因材料和工艺方面的缺陷，以及设计不完善而导致设备达不到技术规格要求，</w:t>
      </w:r>
      <w:r>
        <w:rPr>
          <w:rFonts w:hint="eastAsia" w:ascii="宋体" w:hAnsi="宋体" w:eastAsia="宋体" w:cs="宋体"/>
          <w:lang w:val="en-US" w:eastAsia="zh-CN"/>
        </w:rPr>
        <w:t>承揽方（乙方）所用元件、配件、材料必须为未使用的全新合格产品，并必须和设备原元器件、材料一致或可兼容。电动葫芦及行车</w:t>
      </w:r>
      <w:r>
        <w:rPr>
          <w:rFonts w:hint="eastAsia" w:ascii="宋体" w:hAnsi="宋体" w:eastAsia="宋体" w:cs="宋体"/>
          <w:lang w:val="zh-CN" w:eastAsia="zh-CN"/>
        </w:rPr>
        <w:t>，从签署现场验收合格之日起，如在</w:t>
      </w:r>
      <w:r>
        <w:rPr>
          <w:rFonts w:hint="eastAsia" w:ascii="宋体" w:hAnsi="宋体" w:eastAsia="宋体" w:cs="宋体"/>
          <w:lang w:val="en-US" w:eastAsia="zh-CN"/>
        </w:rPr>
        <w:t>1年</w:t>
      </w:r>
      <w:r>
        <w:rPr>
          <w:rFonts w:hint="eastAsia" w:ascii="宋体" w:hAnsi="宋体" w:eastAsia="宋体" w:cs="宋体"/>
          <w:lang w:val="zh-CN" w:eastAsia="zh-CN"/>
        </w:rPr>
        <w:t>之内出现</w:t>
      </w:r>
      <w:r>
        <w:rPr>
          <w:rFonts w:hint="eastAsia" w:ascii="宋体" w:hAnsi="宋体" w:eastAsia="宋体" w:cs="宋体"/>
          <w:lang w:val="en-US" w:eastAsia="zh-CN"/>
        </w:rPr>
        <w:t>质量问题</w:t>
      </w:r>
      <w:r>
        <w:rPr>
          <w:rFonts w:hint="eastAsia" w:ascii="宋体" w:hAnsi="宋体" w:eastAsia="宋体" w:cs="宋体"/>
          <w:lang w:val="zh-CN" w:eastAsia="zh-CN"/>
        </w:rPr>
        <w:t>，</w:t>
      </w:r>
      <w:r>
        <w:rPr>
          <w:rFonts w:hint="eastAsia" w:ascii="宋体" w:hAnsi="宋体" w:eastAsia="宋体" w:cs="宋体"/>
          <w:lang w:val="en-US" w:eastAsia="zh-CN"/>
        </w:rPr>
        <w:t>承揽方（乙方）</w:t>
      </w:r>
      <w:r>
        <w:rPr>
          <w:rFonts w:hint="eastAsia" w:ascii="宋体" w:hAnsi="宋体" w:eastAsia="宋体" w:cs="宋体"/>
          <w:lang w:val="zh-CN" w:eastAsia="zh-CN"/>
        </w:rPr>
        <w:t>负责在收到</w:t>
      </w:r>
      <w:r>
        <w:rPr>
          <w:rFonts w:hint="eastAsia" w:ascii="宋体" w:hAnsi="宋体" w:eastAsia="宋体" w:cs="宋体"/>
          <w:lang w:val="en-US" w:eastAsia="zh-CN"/>
        </w:rPr>
        <w:t>委托方（甲方）</w:t>
      </w:r>
      <w:r>
        <w:rPr>
          <w:rFonts w:hint="eastAsia" w:ascii="宋体" w:hAnsi="宋体" w:eastAsia="宋体" w:cs="宋体"/>
          <w:lang w:val="zh-CN" w:eastAsia="zh-CN"/>
        </w:rPr>
        <w:t>通知7日内进行</w:t>
      </w:r>
      <w:r>
        <w:rPr>
          <w:rFonts w:hint="eastAsia" w:ascii="宋体" w:hAnsi="宋体" w:eastAsia="宋体" w:cs="宋体"/>
          <w:lang w:val="en-US" w:eastAsia="zh-CN"/>
        </w:rPr>
        <w:t>维修</w:t>
      </w:r>
      <w:r>
        <w:rPr>
          <w:rFonts w:hint="eastAsia" w:ascii="宋体" w:hAnsi="宋体" w:eastAsia="宋体" w:cs="宋体"/>
          <w:lang w:val="zh-CN" w:eastAsia="zh-CN"/>
        </w:rPr>
        <w:t>，由此发生的费用均由</w:t>
      </w:r>
      <w:r>
        <w:rPr>
          <w:rFonts w:hint="eastAsia" w:ascii="宋体" w:hAnsi="宋体" w:eastAsia="宋体" w:cs="宋体"/>
          <w:lang w:val="en-US" w:eastAsia="zh-CN"/>
        </w:rPr>
        <w:t>承揽方（乙方）</w:t>
      </w:r>
      <w:r>
        <w:rPr>
          <w:rFonts w:hint="eastAsia" w:ascii="宋体" w:hAnsi="宋体" w:eastAsia="宋体" w:cs="宋体"/>
          <w:lang w:val="zh-CN" w:eastAsia="zh-CN"/>
        </w:rPr>
        <w:t>承担。如</w:t>
      </w:r>
      <w:r>
        <w:rPr>
          <w:rFonts w:hint="eastAsia" w:ascii="宋体" w:hAnsi="宋体" w:eastAsia="宋体" w:cs="宋体"/>
          <w:lang w:val="en-US" w:eastAsia="zh-CN"/>
        </w:rPr>
        <w:t>承揽方（乙方）</w:t>
      </w:r>
      <w:r>
        <w:rPr>
          <w:rFonts w:hint="eastAsia" w:ascii="宋体" w:hAnsi="宋体" w:eastAsia="宋体" w:cs="宋体"/>
          <w:lang w:val="zh-CN" w:eastAsia="zh-CN"/>
        </w:rPr>
        <w:t>不履行上述保修义务，则应承担</w:t>
      </w:r>
      <w:r>
        <w:rPr>
          <w:rFonts w:hint="eastAsia" w:ascii="宋体" w:hAnsi="宋体" w:eastAsia="宋体" w:cs="宋体"/>
          <w:lang w:val="en-US" w:eastAsia="zh-CN"/>
        </w:rPr>
        <w:t>委托方（甲方）</w:t>
      </w:r>
      <w:r>
        <w:rPr>
          <w:rFonts w:hint="eastAsia" w:ascii="宋体" w:hAnsi="宋体" w:eastAsia="宋体" w:cs="宋体"/>
          <w:lang w:val="zh-CN" w:eastAsia="zh-CN"/>
        </w:rPr>
        <w:t>由此而引起的</w:t>
      </w:r>
      <w:r>
        <w:rPr>
          <w:rFonts w:hint="eastAsia" w:ascii="宋体" w:hAnsi="宋体" w:eastAsia="宋体" w:cs="宋体"/>
          <w:lang w:val="en-US" w:eastAsia="zh-CN"/>
        </w:rPr>
        <w:t>直接</w:t>
      </w:r>
      <w:r>
        <w:rPr>
          <w:rFonts w:hint="eastAsia" w:ascii="宋体" w:hAnsi="宋体" w:eastAsia="宋体" w:cs="宋体"/>
          <w:lang w:val="zh-CN" w:eastAsia="zh-CN"/>
        </w:rPr>
        <w:t>损失。</w:t>
      </w:r>
    </w:p>
    <w:p w14:paraId="518896FB">
      <w:pPr>
        <w:numPr>
          <w:ilvl w:val="0"/>
          <w:numId w:val="0"/>
        </w:numPr>
        <w:tabs>
          <w:tab w:val="left" w:pos="0"/>
        </w:tabs>
        <w:spacing w:line="360" w:lineRule="auto"/>
        <w:ind w:left="0" w:leftChars="0" w:firstLine="480" w:firstLineChars="200"/>
        <w:rPr>
          <w:rFonts w:hint="eastAsia"/>
          <w:lang w:val="zh-CN" w:eastAsia="zh-CN"/>
        </w:rPr>
      </w:pPr>
      <w:r>
        <w:rPr>
          <w:rFonts w:hint="default" w:ascii="宋体" w:hAnsi="宋体" w:eastAsia="宋体" w:cs="宋体"/>
          <w:sz w:val="24"/>
          <w:szCs w:val="24"/>
          <w:lang w:val="zh-CN" w:eastAsia="zh-CN" w:bidi="ar-SA"/>
        </w:rPr>
        <w:t>9、</w:t>
      </w:r>
      <w:r>
        <w:rPr>
          <w:rFonts w:hint="eastAsia"/>
          <w:lang w:val="en-US" w:eastAsia="zh-CN"/>
        </w:rPr>
        <w:t>最高限价（元）：10000元（招标人投标报价超过最高限价的按无效投标处理）</w:t>
      </w:r>
    </w:p>
    <w:p w14:paraId="72288EB5">
      <w:pPr>
        <w:pStyle w:val="45"/>
        <w:spacing w:after="0" w:line="360" w:lineRule="auto"/>
        <w:ind w:left="0" w:leftChars="0" w:firstLine="0" w:firstLineChars="0"/>
        <w:jc w:val="left"/>
        <w:rPr>
          <w:b/>
          <w:bCs/>
          <w:kern w:val="2"/>
          <w:szCs w:val="22"/>
        </w:rPr>
      </w:pPr>
      <w:r>
        <w:rPr>
          <w:b/>
          <w:bCs/>
          <w:kern w:val="2"/>
          <w:szCs w:val="22"/>
        </w:rPr>
        <w:t>四、</w:t>
      </w:r>
      <w:r>
        <w:rPr>
          <w:rFonts w:hint="eastAsia"/>
          <w:b/>
          <w:bCs/>
          <w:kern w:val="2"/>
          <w:szCs w:val="22"/>
        </w:rPr>
        <w:t>投标人</w:t>
      </w:r>
      <w:r>
        <w:rPr>
          <w:b/>
          <w:bCs/>
          <w:kern w:val="2"/>
          <w:szCs w:val="22"/>
        </w:rPr>
        <w:t>资格要求</w:t>
      </w:r>
    </w:p>
    <w:p w14:paraId="2163CBA1">
      <w:pPr>
        <w:spacing w:line="360" w:lineRule="auto"/>
        <w:ind w:firstLine="480" w:firstLineChars="200"/>
        <w:rPr>
          <w:rFonts w:hint="default" w:ascii="宋体" w:hAnsi="宋体" w:eastAsia="宋体" w:cs="宋体"/>
          <w:lang w:val="en-US"/>
        </w:rPr>
      </w:pPr>
      <w:r>
        <w:rPr>
          <w:rFonts w:hint="eastAsia"/>
          <w:lang w:val="zh-CN"/>
        </w:rPr>
        <w:t>1、企业资质：注册资金100万及以上、依法成立，具有法人资格和一般纳税人资格，经营范围包含</w:t>
      </w:r>
      <w:r>
        <w:rPr>
          <w:rFonts w:hint="eastAsia"/>
          <w:lang w:val="en-US" w:eastAsia="zh-CN"/>
        </w:rPr>
        <w:t>起重机械</w:t>
      </w:r>
      <w:r>
        <w:rPr>
          <w:rFonts w:hint="eastAsia"/>
          <w:lang w:val="zh-CN"/>
        </w:rPr>
        <w:t>维修项目，具有履行合同必需的设备</w:t>
      </w:r>
      <w:r>
        <w:rPr>
          <w:rFonts w:hint="eastAsia" w:ascii="宋体" w:hAnsi="宋体" w:eastAsia="宋体" w:cs="宋体"/>
          <w:lang w:val="zh-CN"/>
        </w:rPr>
        <w:t>、专业技术能力；</w:t>
      </w:r>
      <w:r>
        <w:rPr>
          <w:rFonts w:hint="eastAsia" w:ascii="宋体" w:hAnsi="宋体" w:eastAsia="宋体" w:cs="宋体"/>
          <w:lang w:val="en-US" w:eastAsia="zh-CN"/>
        </w:rPr>
        <w:t>因天车为特种设备，</w:t>
      </w:r>
      <w:r>
        <w:rPr>
          <w:rFonts w:hint="eastAsia" w:cs="宋体"/>
          <w:lang w:val="en-US" w:eastAsia="zh-CN"/>
        </w:rPr>
        <w:t>需持</w:t>
      </w:r>
      <w:r>
        <w:rPr>
          <w:rFonts w:hint="eastAsia" w:ascii="宋体" w:hAnsi="宋体" w:eastAsia="宋体" w:cs="宋体"/>
          <w:lang w:val="en-US" w:eastAsia="zh-CN"/>
        </w:rPr>
        <w:t>有维修特种设备资质。维修团队中人员必须持有</w:t>
      </w:r>
      <w:r>
        <w:rPr>
          <w:rFonts w:hint="eastAsia" w:cs="宋体"/>
          <w:lang w:val="en-US" w:eastAsia="zh-CN"/>
        </w:rPr>
        <w:t>有效期内的</w:t>
      </w:r>
      <w:r>
        <w:rPr>
          <w:rFonts w:hint="eastAsia" w:ascii="宋体" w:hAnsi="宋体" w:eastAsia="宋体" w:cs="宋体"/>
          <w:lang w:val="en-US" w:eastAsia="zh-CN"/>
        </w:rPr>
        <w:t>特</w:t>
      </w:r>
      <w:r>
        <w:rPr>
          <w:rFonts w:hint="eastAsia" w:ascii="宋体" w:hAnsi="宋体" w:eastAsia="宋体" w:cs="宋体"/>
          <w:color w:val="auto"/>
          <w:lang w:val="en-US" w:eastAsia="zh-CN"/>
        </w:rPr>
        <w:t>种设备维修作业人员证</w:t>
      </w:r>
      <w:r>
        <w:rPr>
          <w:rFonts w:hint="eastAsia" w:cs="宋体"/>
          <w:color w:val="auto"/>
          <w:lang w:val="en-US" w:eastAsia="zh-CN"/>
        </w:rPr>
        <w:t>（Q1)。</w:t>
      </w:r>
    </w:p>
    <w:p w14:paraId="58206C24">
      <w:pPr>
        <w:spacing w:line="360" w:lineRule="auto"/>
        <w:ind w:firstLine="480" w:firstLineChars="200"/>
        <w:rPr>
          <w:rFonts w:hint="default" w:ascii="宋体" w:hAnsi="宋体" w:eastAsia="宋体" w:cs="宋体"/>
          <w:lang w:val="en-US" w:eastAsia="zh-CN"/>
        </w:rPr>
      </w:pPr>
      <w:r>
        <w:rPr>
          <w:rFonts w:hint="eastAsia" w:cs="宋体"/>
          <w:lang w:val="en-US" w:eastAsia="zh-CN"/>
        </w:rPr>
        <w:t>2、三年内起重机械维修业绩不少于2个，需提供合同扫描件；</w:t>
      </w:r>
    </w:p>
    <w:p w14:paraId="0F85A8D0">
      <w:pPr>
        <w:spacing w:line="360" w:lineRule="auto"/>
        <w:ind w:firstLine="480" w:firstLineChars="200"/>
        <w:rPr>
          <w:rFonts w:hint="eastAsia"/>
          <w:lang w:val="zh-CN"/>
        </w:rPr>
      </w:pPr>
      <w:r>
        <w:rPr>
          <w:rFonts w:hint="eastAsia"/>
          <w:lang w:val="en-US" w:eastAsia="zh-CN"/>
        </w:rPr>
        <w:t>3</w:t>
      </w:r>
      <w:r>
        <w:rPr>
          <w:rFonts w:hint="eastAsia"/>
          <w:lang w:val="zh-CN"/>
        </w:rPr>
        <w:t>、具有良好的企业信誉和健全的财务会计制度；</w:t>
      </w:r>
    </w:p>
    <w:p w14:paraId="1D8DC667">
      <w:pPr>
        <w:spacing w:line="360" w:lineRule="auto"/>
        <w:ind w:firstLine="480" w:firstLineChars="200"/>
        <w:rPr>
          <w:rFonts w:hint="eastAsia"/>
          <w:lang w:val="zh-CN"/>
        </w:rPr>
      </w:pPr>
      <w:r>
        <w:rPr>
          <w:rFonts w:hint="eastAsia"/>
          <w:lang w:val="en-US" w:eastAsia="zh-CN"/>
        </w:rPr>
        <w:t>4</w:t>
      </w:r>
      <w:r>
        <w:rPr>
          <w:rFonts w:hint="eastAsia"/>
          <w:lang w:val="zh-CN"/>
        </w:rPr>
        <w:t>、有依法缴纳税收和社会保障金的良好纪录；</w:t>
      </w:r>
    </w:p>
    <w:p w14:paraId="19DE10F5">
      <w:pPr>
        <w:spacing w:line="360" w:lineRule="auto"/>
        <w:ind w:firstLine="480" w:firstLineChars="200"/>
        <w:rPr>
          <w:rFonts w:hint="eastAsia"/>
          <w:lang w:val="zh-CN"/>
        </w:rPr>
      </w:pPr>
      <w:r>
        <w:rPr>
          <w:rFonts w:hint="eastAsia"/>
          <w:lang w:val="en-US" w:eastAsia="zh-CN"/>
        </w:rPr>
        <w:t>5</w:t>
      </w:r>
      <w:r>
        <w:rPr>
          <w:rFonts w:hint="eastAsia"/>
          <w:lang w:val="zh-CN"/>
        </w:rPr>
        <w:t>、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90A387B">
      <w:pPr>
        <w:spacing w:line="360" w:lineRule="auto"/>
        <w:ind w:firstLine="480" w:firstLineChars="200"/>
        <w:rPr>
          <w:rFonts w:hint="eastAsia"/>
          <w:lang w:val="zh-CN"/>
        </w:rPr>
      </w:pPr>
      <w:r>
        <w:rPr>
          <w:rFonts w:hint="eastAsia"/>
          <w:lang w:val="en-US" w:eastAsia="zh-CN"/>
        </w:rPr>
        <w:t>6</w:t>
      </w:r>
      <w:r>
        <w:rPr>
          <w:rFonts w:hint="eastAsia"/>
          <w:lang w:val="zh-CN"/>
        </w:rPr>
        <w:t>、</w:t>
      </w:r>
      <w:r>
        <w:rPr>
          <w:rFonts w:hint="eastAsia"/>
          <w:highlight w:val="none"/>
          <w:lang w:val="en-US" w:eastAsia="zh-CN"/>
        </w:rPr>
        <w:t>以上5项必须同时满足，</w:t>
      </w:r>
      <w:r>
        <w:rPr>
          <w:rFonts w:hint="eastAsia"/>
          <w:lang w:val="zh-CN"/>
        </w:rPr>
        <w:t>如有单位资料造假，一经发现，立即在网上公示，并永久取消投标资格。</w:t>
      </w:r>
    </w:p>
    <w:p w14:paraId="434BE1AC">
      <w:pPr>
        <w:spacing w:line="360" w:lineRule="auto"/>
        <w:rPr>
          <w:rFonts w:hint="eastAsia"/>
          <w:b/>
          <w:bCs/>
        </w:rPr>
      </w:pPr>
      <w:r>
        <w:rPr>
          <w:rFonts w:hint="eastAsia" w:cs="Times New Roman"/>
          <w:b/>
          <w:bCs/>
          <w:kern w:val="2"/>
          <w:szCs w:val="22"/>
        </w:rPr>
        <w:t>五、</w:t>
      </w:r>
      <w:r>
        <w:rPr>
          <w:rFonts w:hint="eastAsia"/>
          <w:b/>
          <w:bCs/>
        </w:rPr>
        <w:t>公告和报名</w:t>
      </w:r>
    </w:p>
    <w:p w14:paraId="231AE9F2">
      <w:pPr>
        <w:spacing w:line="360" w:lineRule="auto"/>
        <w:ind w:firstLine="480" w:firstLineChars="200"/>
        <w:rPr>
          <w:rFonts w:hint="eastAsia"/>
        </w:rPr>
      </w:pPr>
      <w:r>
        <w:rPr>
          <w:rFonts w:hint="eastAsia"/>
        </w:rPr>
        <w:t>1、报名方式：通过登录济钢集团有限公司阳光购销平台网上报名(</w:t>
      </w:r>
      <w:r>
        <w:rPr>
          <w:rFonts w:hint="eastAsia"/>
          <w:lang w:val="zh-CN"/>
        </w:rPr>
        <w:t>不接受线下报名</w:t>
      </w:r>
      <w:r>
        <w:rPr>
          <w:rFonts w:hint="eastAsia"/>
        </w:rPr>
        <w:t>)，平台网址：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p>
    <w:p w14:paraId="4FAA3A65">
      <w:pPr>
        <w:spacing w:line="360" w:lineRule="auto"/>
        <w:ind w:firstLine="480" w:firstLineChars="200"/>
        <w:rPr>
          <w:rFonts w:hint="eastAsia"/>
        </w:rPr>
      </w:pPr>
      <w:r>
        <w:rPr>
          <w:rFonts w:hint="eastAsia"/>
        </w:rPr>
        <w:t>2、公告和报</w:t>
      </w:r>
      <w:r>
        <w:rPr>
          <w:rFonts w:hint="eastAsia"/>
          <w:highlight w:val="none"/>
        </w:rPr>
        <w:t>名时间：20</w:t>
      </w:r>
      <w:r>
        <w:rPr>
          <w:rFonts w:hint="eastAsia"/>
          <w:highlight w:val="none"/>
          <w:lang w:val="en-US" w:eastAsia="zh-CN"/>
        </w:rPr>
        <w:t>26</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25</w:t>
      </w:r>
      <w:r>
        <w:rPr>
          <w:rFonts w:hint="eastAsia"/>
          <w:highlight w:val="none"/>
        </w:rPr>
        <w:t>日～202</w:t>
      </w:r>
      <w:r>
        <w:rPr>
          <w:rFonts w:hint="eastAsia"/>
          <w:highlight w:val="none"/>
          <w:lang w:val="en-US" w:eastAsia="zh-CN"/>
        </w:rPr>
        <w:t>6</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30</w:t>
      </w:r>
      <w:r>
        <w:rPr>
          <w:rFonts w:hint="eastAsia"/>
          <w:highlight w:val="none"/>
        </w:rPr>
        <w:t>日（北京时间）</w:t>
      </w:r>
      <w:r>
        <w:rPr>
          <w:rFonts w:hint="eastAsia"/>
        </w:rPr>
        <w:t>。</w:t>
      </w:r>
    </w:p>
    <w:p w14:paraId="3812072B">
      <w:pPr>
        <w:widowControl w:val="0"/>
        <w:spacing w:line="360" w:lineRule="auto"/>
        <w:rPr>
          <w:rFonts w:cs="Times New Roman"/>
          <w:b/>
          <w:bCs/>
          <w:kern w:val="2"/>
          <w:szCs w:val="22"/>
        </w:rPr>
      </w:pPr>
      <w:r>
        <w:rPr>
          <w:rFonts w:hint="eastAsia" w:cs="Times New Roman"/>
          <w:b/>
          <w:bCs/>
          <w:kern w:val="2"/>
          <w:szCs w:val="22"/>
        </w:rPr>
        <w:t>六</w:t>
      </w:r>
      <w:r>
        <w:rPr>
          <w:rFonts w:cs="Times New Roman"/>
          <w:b/>
          <w:bCs/>
          <w:kern w:val="2"/>
          <w:szCs w:val="22"/>
        </w:rPr>
        <w:t>、</w:t>
      </w:r>
      <w:r>
        <w:rPr>
          <w:rFonts w:hint="eastAsia" w:cs="Times New Roman"/>
          <w:b/>
          <w:bCs/>
          <w:kern w:val="2"/>
          <w:szCs w:val="22"/>
        </w:rPr>
        <w:t>开标时间和方式</w:t>
      </w:r>
    </w:p>
    <w:p w14:paraId="4CC17EBA">
      <w:pPr>
        <w:widowControl w:val="0"/>
        <w:spacing w:line="360" w:lineRule="auto"/>
        <w:ind w:firstLine="480" w:firstLineChars="200"/>
        <w:rPr>
          <w:rFonts w:cs="Times New Roman"/>
          <w:kern w:val="2"/>
          <w:szCs w:val="22"/>
          <w:highlight w:val="none"/>
        </w:rPr>
      </w:pPr>
      <w:r>
        <w:rPr>
          <w:rFonts w:cs="Times New Roman"/>
          <w:kern w:val="2"/>
          <w:szCs w:val="22"/>
        </w:rPr>
        <w:t>1、</w:t>
      </w:r>
      <w:r>
        <w:rPr>
          <w:rFonts w:hint="eastAsia" w:cs="Times New Roman"/>
          <w:kern w:val="2"/>
          <w:szCs w:val="22"/>
          <w:highlight w:val="none"/>
        </w:rPr>
        <w:t>开标</w:t>
      </w:r>
      <w:r>
        <w:rPr>
          <w:rFonts w:cs="Times New Roman"/>
          <w:kern w:val="2"/>
          <w:szCs w:val="22"/>
          <w:highlight w:val="none"/>
        </w:rPr>
        <w:t>时间：</w:t>
      </w: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7</w:t>
      </w:r>
      <w:r>
        <w:rPr>
          <w:rFonts w:hint="eastAsia" w:cs="Times New Roman"/>
          <w:kern w:val="2"/>
          <w:szCs w:val="22"/>
          <w:highlight w:val="none"/>
        </w:rPr>
        <w:t>月</w:t>
      </w:r>
      <w:r>
        <w:rPr>
          <w:rFonts w:hint="eastAsia" w:cs="Times New Roman"/>
          <w:kern w:val="2"/>
          <w:szCs w:val="22"/>
          <w:highlight w:val="none"/>
          <w:lang w:val="en-US" w:eastAsia="zh-CN"/>
        </w:rPr>
        <w:t>1</w:t>
      </w:r>
      <w:r>
        <w:rPr>
          <w:rFonts w:hint="eastAsia" w:cs="Times New Roman"/>
          <w:kern w:val="2"/>
          <w:szCs w:val="22"/>
          <w:highlight w:val="none"/>
        </w:rPr>
        <w:t>日</w:t>
      </w:r>
      <w:r>
        <w:rPr>
          <w:rFonts w:hint="eastAsia" w:cs="Times New Roman"/>
          <w:kern w:val="2"/>
          <w:szCs w:val="22"/>
          <w:highlight w:val="none"/>
          <w:lang w:val="en-US" w:eastAsia="zh-CN"/>
        </w:rPr>
        <w:t>9</w:t>
      </w:r>
      <w:r>
        <w:rPr>
          <w:rFonts w:hint="eastAsia" w:cs="Times New Roman"/>
          <w:kern w:val="2"/>
          <w:szCs w:val="22"/>
          <w:highlight w:val="none"/>
        </w:rPr>
        <w:t>点</w:t>
      </w:r>
      <w:r>
        <w:rPr>
          <w:rFonts w:cs="Times New Roman"/>
          <w:kern w:val="2"/>
          <w:szCs w:val="22"/>
          <w:highlight w:val="none"/>
        </w:rPr>
        <w:t>；</w:t>
      </w:r>
    </w:p>
    <w:p w14:paraId="7BA757DC">
      <w:pPr>
        <w:widowControl w:val="0"/>
        <w:spacing w:line="360" w:lineRule="auto"/>
        <w:ind w:firstLine="480" w:firstLineChars="200"/>
        <w:rPr>
          <w:rFonts w:hint="eastAsia"/>
          <w:highlight w:val="none"/>
        </w:rPr>
      </w:pPr>
      <w:r>
        <w:rPr>
          <w:rFonts w:cs="Times New Roman"/>
          <w:kern w:val="2"/>
          <w:szCs w:val="22"/>
          <w:highlight w:val="none"/>
        </w:rPr>
        <w:t>2、</w:t>
      </w:r>
      <w:r>
        <w:rPr>
          <w:rFonts w:hint="eastAsia"/>
          <w:highlight w:val="none"/>
        </w:rPr>
        <w:t>开标方式：</w:t>
      </w:r>
      <w:r>
        <w:rPr>
          <w:rFonts w:hint="eastAsia"/>
          <w:highlight w:val="none"/>
          <w:lang w:val="en-US" w:eastAsia="zh-CN"/>
        </w:rPr>
        <w:t>网上</w:t>
      </w:r>
      <w:r>
        <w:rPr>
          <w:rFonts w:hint="eastAsia"/>
          <w:highlight w:val="none"/>
        </w:rPr>
        <w:t>开标。</w:t>
      </w:r>
    </w:p>
    <w:p w14:paraId="7F9903FC">
      <w:pPr>
        <w:spacing w:line="360" w:lineRule="auto"/>
        <w:rPr>
          <w:rFonts w:hint="eastAsia" w:cs="Times New Roman"/>
          <w:b/>
          <w:bCs/>
          <w:kern w:val="2"/>
          <w:szCs w:val="22"/>
          <w:highlight w:val="none"/>
        </w:rPr>
      </w:pPr>
      <w:r>
        <w:rPr>
          <w:rFonts w:hint="eastAsia" w:cs="Times New Roman"/>
          <w:b/>
          <w:bCs/>
          <w:kern w:val="2"/>
          <w:szCs w:val="22"/>
          <w:highlight w:val="none"/>
        </w:rPr>
        <w:t>七</w:t>
      </w:r>
      <w:r>
        <w:rPr>
          <w:rFonts w:cs="Times New Roman"/>
          <w:b/>
          <w:bCs/>
          <w:kern w:val="2"/>
          <w:szCs w:val="22"/>
          <w:highlight w:val="none"/>
        </w:rPr>
        <w:t>、</w:t>
      </w:r>
      <w:r>
        <w:rPr>
          <w:rFonts w:hint="eastAsia" w:cs="Times New Roman"/>
          <w:b/>
          <w:bCs/>
          <w:kern w:val="2"/>
          <w:szCs w:val="22"/>
          <w:highlight w:val="none"/>
        </w:rPr>
        <w:t>投标</w:t>
      </w:r>
      <w:r>
        <w:rPr>
          <w:rFonts w:cs="Times New Roman"/>
          <w:b/>
          <w:bCs/>
          <w:kern w:val="2"/>
          <w:szCs w:val="22"/>
          <w:highlight w:val="none"/>
        </w:rPr>
        <w:t>保证金：</w:t>
      </w:r>
      <w:r>
        <w:rPr>
          <w:rFonts w:hint="eastAsia" w:cs="Times New Roman"/>
          <w:b/>
          <w:bCs/>
          <w:kern w:val="2"/>
          <w:szCs w:val="22"/>
          <w:highlight w:val="none"/>
          <w:lang w:val="en-US" w:eastAsia="zh-CN"/>
        </w:rPr>
        <w:t>无</w:t>
      </w:r>
    </w:p>
    <w:p w14:paraId="1EC22A6C">
      <w:pPr>
        <w:spacing w:line="360" w:lineRule="auto"/>
        <w:rPr>
          <w:rFonts w:hint="eastAsia"/>
          <w:b/>
          <w:bCs/>
        </w:rPr>
      </w:pPr>
      <w:r>
        <w:rPr>
          <w:rFonts w:hint="eastAsia"/>
          <w:b/>
          <w:bCs/>
        </w:rPr>
        <w:t>八、招标文件的获取方式</w:t>
      </w:r>
    </w:p>
    <w:p w14:paraId="5A3E0B1B">
      <w:pPr>
        <w:spacing w:line="360" w:lineRule="auto"/>
        <w:ind w:firstLine="480" w:firstLineChars="200"/>
        <w:rPr>
          <w:rFonts w:hint="eastAsia"/>
          <w:lang w:eastAsia="zh-CN"/>
        </w:rPr>
      </w:pPr>
      <w:r>
        <w:rPr>
          <w:rFonts w:hint="eastAsia"/>
        </w:rPr>
        <w:t>凡有意参加本次招标的投标人，在公告期内登陆：济钢集团有限公司阳光购销平台</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，注册用户成功后，须修改初始密码，重新登录后报名，报名成功后即可下载招标文件</w:t>
      </w:r>
      <w:r>
        <w:rPr>
          <w:rFonts w:hint="eastAsia"/>
          <w:lang w:eastAsia="zh-CN"/>
        </w:rPr>
        <w:t>。</w:t>
      </w:r>
    </w:p>
    <w:p w14:paraId="2EFA087C">
      <w:pPr>
        <w:widowControl/>
        <w:autoSpaceDE w:val="0"/>
        <w:autoSpaceDN w:val="0"/>
        <w:adjustRightInd w:val="0"/>
        <w:spacing w:line="360" w:lineRule="exact"/>
        <w:jc w:val="left"/>
        <w:rPr>
          <w:rFonts w:ascii="仿宋" w:hAnsi="仿宋" w:eastAsia="仿宋" w:cs="Arial Unicode MS"/>
          <w:kern w:val="0"/>
          <w:sz w:val="24"/>
          <w:szCs w:val="24"/>
          <w:lang w:val="zh-CN"/>
        </w:rPr>
      </w:pPr>
      <w:r>
        <w:rPr>
          <w:rFonts w:hint="eastAsia"/>
          <w:b/>
          <w:bCs/>
          <w:lang w:val="en-US" w:eastAsia="zh-CN"/>
        </w:rPr>
        <w:t>九、</w:t>
      </w:r>
      <w:r>
        <w:rPr>
          <w:rFonts w:hint="eastAsia"/>
          <w:b/>
          <w:bCs/>
          <w:lang w:val="zh-CN"/>
        </w:rPr>
        <w:t>投标文件的递交</w:t>
      </w:r>
    </w:p>
    <w:p w14:paraId="043EAB8B">
      <w:pPr>
        <w:spacing w:line="360" w:lineRule="auto"/>
        <w:ind w:firstLine="480" w:firstLineChars="200"/>
      </w:pPr>
      <w:r>
        <w:rPr>
          <w:rFonts w:hint="eastAsia"/>
          <w:lang w:val="zh-CN"/>
        </w:rPr>
        <w:t>网上递交（上传）</w:t>
      </w:r>
      <w:r>
        <w:rPr>
          <w:rFonts w:hint="eastAsia"/>
          <w:lang w:val="en-US" w:eastAsia="zh-CN"/>
        </w:rPr>
        <w:t>谈判</w:t>
      </w:r>
      <w:r>
        <w:rPr>
          <w:rFonts w:hint="eastAsia"/>
          <w:lang w:val="zh-CN"/>
        </w:rPr>
        <w:t>文件，递交的截止时间（投标截止</w:t>
      </w:r>
      <w:r>
        <w:rPr>
          <w:rFonts w:hint="eastAsia"/>
          <w:highlight w:val="none"/>
          <w:lang w:val="zh-CN"/>
        </w:rPr>
        <w:t>时间）为202</w:t>
      </w:r>
      <w:r>
        <w:rPr>
          <w:rFonts w:hint="eastAsia"/>
          <w:highlight w:val="none"/>
          <w:lang w:val="en-US" w:eastAsia="zh-CN"/>
        </w:rPr>
        <w:t>6</w:t>
      </w:r>
      <w:r>
        <w:rPr>
          <w:rFonts w:hint="eastAsia"/>
          <w:highlight w:val="none"/>
          <w:lang w:val="zh-CN"/>
        </w:rPr>
        <w:t>年</w:t>
      </w:r>
      <w:r>
        <w:rPr>
          <w:rFonts w:hint="eastAsia"/>
          <w:highlight w:val="none"/>
          <w:lang w:val="en-US" w:eastAsia="zh-CN"/>
        </w:rPr>
        <w:t>6</w:t>
      </w:r>
      <w:r>
        <w:rPr>
          <w:rFonts w:hint="eastAsia"/>
          <w:highlight w:val="none"/>
          <w:lang w:val="zh-CN"/>
        </w:rPr>
        <w:t>月</w:t>
      </w:r>
      <w:r>
        <w:rPr>
          <w:rFonts w:hint="eastAsia"/>
          <w:highlight w:val="none"/>
          <w:lang w:val="en-US" w:eastAsia="zh-CN"/>
        </w:rPr>
        <w:t>25</w:t>
      </w:r>
      <w:r>
        <w:rPr>
          <w:rFonts w:hint="eastAsia"/>
          <w:highlight w:val="none"/>
          <w:lang w:val="zh-CN"/>
        </w:rPr>
        <w:t>日</w:t>
      </w:r>
      <w:r>
        <w:rPr>
          <w:rFonts w:hint="eastAsia"/>
          <w:highlight w:val="none"/>
          <w:lang w:val="en-US" w:eastAsia="zh-CN"/>
        </w:rPr>
        <w:t>14</w:t>
      </w:r>
      <w:r>
        <w:rPr>
          <w:rFonts w:hint="eastAsia"/>
          <w:lang w:val="zh-CN"/>
        </w:rPr>
        <w:t>时</w:t>
      </w:r>
      <w:r>
        <w:rPr>
          <w:rFonts w:hint="eastAsia"/>
          <w:lang w:val="en-US" w:eastAsia="zh-CN"/>
        </w:rPr>
        <w:t>00</w:t>
      </w:r>
      <w:r>
        <w:rPr>
          <w:rFonts w:hint="eastAsia"/>
          <w:lang w:val="zh-CN"/>
        </w:rPr>
        <w:t>分，逾期递交的为无效投标；</w:t>
      </w:r>
      <w:r>
        <w:rPr>
          <w:rFonts w:hint="eastAsia"/>
          <w:lang w:val="en-US" w:eastAsia="zh-CN"/>
        </w:rPr>
        <w:t>投标文件不到开标时间无法打开请投标单位放心上传</w:t>
      </w:r>
      <w:r>
        <w:rPr>
          <w:rFonts w:hint="eastAsia"/>
          <w:lang w:val="zh-CN"/>
        </w:rPr>
        <w:t>。</w:t>
      </w:r>
    </w:p>
    <w:p w14:paraId="0DCB6B57">
      <w:pPr>
        <w:spacing w:line="360" w:lineRule="auto"/>
        <w:rPr>
          <w:rFonts w:hint="eastAsia"/>
          <w:b/>
          <w:bCs/>
        </w:rPr>
      </w:pPr>
      <w:r>
        <w:rPr>
          <w:rFonts w:hint="eastAsia"/>
          <w:b/>
          <w:bCs/>
          <w:lang w:val="en-US" w:eastAsia="zh-CN"/>
        </w:rPr>
        <w:t>十</w:t>
      </w:r>
      <w:r>
        <w:rPr>
          <w:rFonts w:hint="eastAsia"/>
          <w:b/>
          <w:bCs/>
        </w:rPr>
        <w:t>、资格审查</w:t>
      </w:r>
    </w:p>
    <w:p w14:paraId="4E9D2114">
      <w:pPr>
        <w:spacing w:line="360" w:lineRule="auto"/>
        <w:ind w:firstLine="480" w:firstLineChars="200"/>
        <w:rPr>
          <w:rFonts w:hint="eastAsia"/>
        </w:rPr>
      </w:pPr>
      <w:r>
        <w:rPr>
          <w:rFonts w:hint="eastAsia"/>
        </w:rPr>
        <w:t>资格后审，不接受联合体。</w:t>
      </w:r>
    </w:p>
    <w:p w14:paraId="566B15F8">
      <w:pPr>
        <w:spacing w:line="360" w:lineRule="auto"/>
        <w:rPr>
          <w:rFonts w:hint="eastAsia"/>
          <w:b/>
          <w:bCs/>
        </w:rPr>
      </w:pPr>
      <w:r>
        <w:rPr>
          <w:rFonts w:hint="eastAsia"/>
          <w:b/>
          <w:bCs/>
        </w:rPr>
        <w:t>十</w:t>
      </w:r>
      <w:r>
        <w:rPr>
          <w:rFonts w:hint="eastAsia"/>
          <w:b/>
          <w:bCs/>
          <w:lang w:val="en-US" w:eastAsia="zh-CN"/>
        </w:rPr>
        <w:t>一</w:t>
      </w:r>
      <w:r>
        <w:rPr>
          <w:rFonts w:hint="eastAsia"/>
          <w:b/>
          <w:bCs/>
        </w:rPr>
        <w:t>、招标人的名称、地址和联系人</w:t>
      </w:r>
    </w:p>
    <w:p w14:paraId="4FF4DD1D">
      <w:pPr>
        <w:widowControl w:val="0"/>
        <w:spacing w:line="360" w:lineRule="auto"/>
        <w:ind w:firstLine="480" w:firstLineChars="200"/>
        <w:rPr>
          <w:rFonts w:cs="Times New Roman"/>
          <w:kern w:val="2"/>
          <w:szCs w:val="22"/>
        </w:rPr>
      </w:pPr>
      <w:r>
        <w:rPr>
          <w:rFonts w:hint="eastAsia"/>
        </w:rPr>
        <w:t>1、招标人的名称：</w:t>
      </w:r>
      <w:r>
        <w:rPr>
          <w:rFonts w:hint="eastAsia" w:cs="Times New Roman"/>
          <w:kern w:val="2"/>
          <w:szCs w:val="22"/>
        </w:rPr>
        <w:t>山东济钢</w:t>
      </w:r>
      <w:r>
        <w:rPr>
          <w:rFonts w:cs="Times New Roman"/>
          <w:kern w:val="2"/>
          <w:szCs w:val="22"/>
        </w:rPr>
        <w:t>环保新材料有限公司</w:t>
      </w:r>
    </w:p>
    <w:p w14:paraId="051B37E4">
      <w:pPr>
        <w:pStyle w:val="45"/>
        <w:spacing w:after="0" w:line="360" w:lineRule="auto"/>
        <w:ind w:left="0" w:leftChars="0" w:firstLine="480"/>
      </w:pPr>
      <w:r>
        <w:rPr>
          <w:rFonts w:hint="eastAsia"/>
        </w:rPr>
        <w:t>2、招标人的地址：山东省济南市章丘区官庄街道青野村东</w:t>
      </w:r>
    </w:p>
    <w:p w14:paraId="3F968695">
      <w:pPr>
        <w:spacing w:line="360" w:lineRule="auto"/>
        <w:ind w:firstLine="480" w:firstLineChars="200"/>
      </w:pPr>
      <w:r>
        <w:rPr>
          <w:rFonts w:hint="eastAsia"/>
        </w:rPr>
        <w:t>3</w:t>
      </w:r>
      <w:r>
        <w:t>、</w:t>
      </w:r>
      <w:r>
        <w:rPr>
          <w:rFonts w:hint="eastAsia"/>
        </w:rPr>
        <w:t>招</w:t>
      </w:r>
      <w:r>
        <w:rPr>
          <w:rFonts w:hint="eastAsia"/>
          <w:lang w:val="en-US" w:eastAsia="zh-CN"/>
        </w:rPr>
        <w:t>投</w:t>
      </w:r>
      <w:r>
        <w:rPr>
          <w:rFonts w:hint="eastAsia"/>
        </w:rPr>
        <w:t>标</w:t>
      </w:r>
      <w:r>
        <w:rPr>
          <w:rFonts w:hint="eastAsia"/>
          <w:lang w:val="en-US" w:eastAsia="zh-CN"/>
        </w:rPr>
        <w:t>咨询</w:t>
      </w:r>
      <w:r>
        <w:t>人：</w:t>
      </w:r>
      <w:r>
        <w:rPr>
          <w:rFonts w:hint="eastAsia"/>
          <w:lang w:val="en-US" w:eastAsia="zh-CN"/>
        </w:rPr>
        <w:t>于工</w:t>
      </w:r>
      <w:r>
        <w:t>，联系电话：</w:t>
      </w:r>
      <w:r>
        <w:rPr>
          <w:rFonts w:hint="eastAsia"/>
          <w:lang w:val="en-US" w:eastAsia="zh-CN"/>
        </w:rPr>
        <w:t>17615831790</w:t>
      </w:r>
      <w:r>
        <w:t>；</w:t>
      </w:r>
    </w:p>
    <w:p w14:paraId="583F2E97">
      <w:pPr>
        <w:widowControl w:val="0"/>
        <w:spacing w:line="360" w:lineRule="auto"/>
        <w:ind w:firstLine="480" w:firstLineChars="200"/>
        <w:rPr>
          <w:rFonts w:hint="eastAsia" w:eastAsia="宋体"/>
          <w:lang w:eastAsia="zh-CN"/>
        </w:rPr>
      </w:pPr>
      <w:r>
        <w:rPr>
          <w:rFonts w:hint="eastAsia"/>
        </w:rPr>
        <w:t>4</w:t>
      </w:r>
      <w:r>
        <w:t>、</w:t>
      </w:r>
      <w:r>
        <w:rPr>
          <w:rFonts w:hint="eastAsia"/>
          <w:lang w:val="en-US" w:eastAsia="zh-CN"/>
        </w:rPr>
        <w:t>技术</w:t>
      </w:r>
      <w:r>
        <w:rPr>
          <w:rFonts w:hint="eastAsia"/>
        </w:rPr>
        <w:t>业务联系人：</w:t>
      </w:r>
      <w:r>
        <w:rPr>
          <w:rFonts w:hint="eastAsia"/>
          <w:lang w:val="en-US" w:eastAsia="zh-CN"/>
        </w:rPr>
        <w:t>范</w:t>
      </w:r>
      <w:r>
        <w:rPr>
          <w:rFonts w:hint="eastAsia"/>
        </w:rPr>
        <w:t>先生，联系电话：</w:t>
      </w:r>
      <w:r>
        <w:rPr>
          <w:rFonts w:hint="eastAsia"/>
          <w:lang w:val="en-US" w:eastAsia="zh-CN"/>
        </w:rPr>
        <w:t>15318143645</w:t>
      </w:r>
      <w:r>
        <w:rPr>
          <w:rFonts w:hint="eastAsia"/>
          <w:lang w:eastAsia="zh-CN"/>
        </w:rPr>
        <w:t>。</w:t>
      </w:r>
    </w:p>
    <w:p w14:paraId="3EF6535F">
      <w:pPr>
        <w:widowControl w:val="0"/>
        <w:spacing w:line="360" w:lineRule="auto"/>
        <w:rPr>
          <w:rFonts w:cs="Times New Roman"/>
          <w:b/>
          <w:bCs/>
          <w:kern w:val="2"/>
          <w:szCs w:val="22"/>
        </w:rPr>
      </w:pPr>
      <w:r>
        <w:rPr>
          <w:rFonts w:hint="eastAsia" w:cs="Times New Roman"/>
          <w:b/>
          <w:bCs/>
          <w:kern w:val="2"/>
          <w:szCs w:val="22"/>
        </w:rPr>
        <w:t>十</w:t>
      </w:r>
      <w:r>
        <w:rPr>
          <w:rFonts w:hint="eastAsia" w:cs="Times New Roman"/>
          <w:b/>
          <w:bCs/>
          <w:kern w:val="2"/>
          <w:szCs w:val="22"/>
          <w:lang w:val="en-US" w:eastAsia="zh-CN"/>
        </w:rPr>
        <w:t>二</w:t>
      </w:r>
      <w:r>
        <w:rPr>
          <w:rFonts w:cs="Times New Roman"/>
          <w:b/>
          <w:bCs/>
          <w:kern w:val="2"/>
          <w:szCs w:val="22"/>
        </w:rPr>
        <w:t>、</w:t>
      </w:r>
      <w:r>
        <w:rPr>
          <w:rFonts w:hint="eastAsia" w:cs="Times New Roman"/>
          <w:b/>
          <w:bCs/>
          <w:kern w:val="2"/>
          <w:szCs w:val="22"/>
        </w:rPr>
        <w:t>安全要求</w:t>
      </w:r>
    </w:p>
    <w:p w14:paraId="6E8ABAD1">
      <w:pPr>
        <w:widowControl w:val="0"/>
        <w:spacing w:line="360" w:lineRule="auto"/>
        <w:ind w:firstLine="480" w:firstLineChars="200"/>
        <w:rPr>
          <w:rFonts w:hint="eastAsia" w:cs="Times New Roman"/>
          <w:kern w:val="2"/>
          <w:szCs w:val="22"/>
        </w:rPr>
      </w:pPr>
      <w:r>
        <w:rPr>
          <w:rFonts w:hint="eastAsia" w:cs="Times New Roman"/>
          <w:kern w:val="2"/>
          <w:szCs w:val="22"/>
        </w:rPr>
        <w:t>1、需要</w:t>
      </w:r>
      <w:r>
        <w:rPr>
          <w:rFonts w:cs="Times New Roman"/>
          <w:kern w:val="2"/>
          <w:szCs w:val="22"/>
        </w:rPr>
        <w:t>现场</w:t>
      </w:r>
      <w:r>
        <w:rPr>
          <w:rFonts w:hint="eastAsia" w:cs="Times New Roman"/>
          <w:kern w:val="2"/>
          <w:szCs w:val="22"/>
        </w:rPr>
        <w:t>踏勘时，</w:t>
      </w:r>
      <w:r>
        <w:rPr>
          <w:rFonts w:cs="Times New Roman"/>
          <w:kern w:val="2"/>
          <w:szCs w:val="22"/>
        </w:rPr>
        <w:t>必须遵守安全管理规定，服从现场</w:t>
      </w:r>
      <w:r>
        <w:rPr>
          <w:rFonts w:hint="eastAsia" w:cs="Times New Roman"/>
          <w:kern w:val="2"/>
          <w:szCs w:val="22"/>
        </w:rPr>
        <w:t>人员</w:t>
      </w:r>
      <w:r>
        <w:rPr>
          <w:rFonts w:cs="Times New Roman"/>
          <w:kern w:val="2"/>
          <w:szCs w:val="22"/>
        </w:rPr>
        <w:t>指挥</w:t>
      </w:r>
      <w:r>
        <w:rPr>
          <w:rFonts w:hint="eastAsia" w:cs="Times New Roman"/>
          <w:kern w:val="2"/>
          <w:szCs w:val="22"/>
        </w:rPr>
        <w:t>。参加投标的</w:t>
      </w:r>
      <w:r>
        <w:rPr>
          <w:rFonts w:cs="Times New Roman"/>
          <w:kern w:val="2"/>
          <w:szCs w:val="22"/>
        </w:rPr>
        <w:t>人员在济钢集团有限公司的一切活动，必须遵守济钢集团有限公司的安全规定。</w:t>
      </w:r>
    </w:p>
    <w:p w14:paraId="7BB78D2A">
      <w:pPr>
        <w:widowControl w:val="0"/>
        <w:spacing w:line="360" w:lineRule="auto"/>
        <w:ind w:firstLine="480" w:firstLineChars="200"/>
        <w:rPr>
          <w:rFonts w:hint="eastAsia" w:cs="Times New Roman"/>
          <w:kern w:val="2"/>
          <w:szCs w:val="22"/>
        </w:rPr>
      </w:pPr>
      <w:r>
        <w:rPr>
          <w:rFonts w:hint="eastAsia" w:cs="Times New Roman"/>
          <w:kern w:val="2"/>
          <w:szCs w:val="22"/>
        </w:rPr>
        <w:t>2、</w:t>
      </w:r>
      <w:r>
        <w:rPr>
          <w:rFonts w:hint="eastAsia" w:cs="Times New Roman"/>
          <w:kern w:val="2"/>
          <w:szCs w:val="22"/>
          <w:lang w:val="en-US" w:eastAsia="zh-CN"/>
        </w:rPr>
        <w:t>如遇突发</w:t>
      </w:r>
      <w:r>
        <w:rPr>
          <w:rFonts w:hint="eastAsia"/>
          <w:color w:val="000000"/>
          <w:lang w:val="en-US" w:eastAsia="zh-CN"/>
        </w:rPr>
        <w:t>情况</w:t>
      </w:r>
      <w:r>
        <w:rPr>
          <w:rFonts w:hint="eastAsia"/>
          <w:color w:val="000000"/>
        </w:rPr>
        <w:t>，开标时间和开标方式可能受到影响，我方有权进行调整，并将在合理有限时间在</w:t>
      </w:r>
      <w:r>
        <w:rPr>
          <w:rFonts w:hint="eastAsia"/>
        </w:rPr>
        <w:t>济钢集团有限公司阳光购销平台上</w:t>
      </w:r>
      <w:r>
        <w:rPr>
          <w:rFonts w:hint="eastAsia"/>
          <w:color w:val="000000"/>
        </w:rPr>
        <w:t>发布公告。请</w:t>
      </w:r>
      <w:r>
        <w:rPr>
          <w:rFonts w:hint="eastAsia"/>
        </w:rPr>
        <w:t>有意参加的投标人</w:t>
      </w:r>
      <w:r>
        <w:rPr>
          <w:rFonts w:hint="eastAsia"/>
          <w:color w:val="000000"/>
        </w:rPr>
        <w:t>每日登陆系统，用注册的用户名查找是否有澄清通知等信息，招标人不再单独通知，怠于登陆造成的后果由投标人承担。</w:t>
      </w:r>
    </w:p>
    <w:p w14:paraId="12C8E674">
      <w:pPr>
        <w:pStyle w:val="45"/>
        <w:ind w:left="0" w:leftChars="0" w:firstLine="0" w:firstLineChars="0"/>
        <w:rPr>
          <w:b/>
          <w:bCs/>
        </w:rPr>
      </w:pPr>
      <w:r>
        <w:rPr>
          <w:rFonts w:hint="eastAsia" w:ascii="宋体" w:hAnsi="宋体"/>
          <w:b/>
          <w:bCs/>
          <w:color w:val="000000"/>
        </w:rPr>
        <w:t>十</w:t>
      </w:r>
      <w:r>
        <w:rPr>
          <w:rFonts w:hint="eastAsia" w:ascii="宋体" w:hAnsi="宋体"/>
          <w:b/>
          <w:bCs/>
          <w:color w:val="000000"/>
          <w:lang w:val="en-US" w:eastAsia="zh-CN"/>
        </w:rPr>
        <w:t>三</w:t>
      </w:r>
      <w:r>
        <w:rPr>
          <w:rFonts w:hint="eastAsia" w:ascii="宋体" w:hAnsi="宋体"/>
          <w:b/>
          <w:bCs/>
          <w:color w:val="000000"/>
        </w:rPr>
        <w:t>、公告中的内容和要求以最终的招标文件为准。</w:t>
      </w:r>
    </w:p>
    <w:p w14:paraId="4292D9E2">
      <w:pPr>
        <w:widowControl w:val="0"/>
        <w:spacing w:line="360" w:lineRule="auto"/>
        <w:ind w:firstLine="4320" w:firstLineChars="1800"/>
        <w:rPr>
          <w:rFonts w:cs="Times New Roman"/>
          <w:kern w:val="2"/>
          <w:szCs w:val="22"/>
        </w:rPr>
      </w:pPr>
      <w:r>
        <w:rPr>
          <w:rFonts w:hint="eastAsia" w:cs="Times New Roman"/>
          <w:kern w:val="2"/>
          <w:szCs w:val="22"/>
        </w:rPr>
        <w:t>山东济钢</w:t>
      </w:r>
      <w:r>
        <w:rPr>
          <w:rFonts w:cs="Times New Roman"/>
          <w:kern w:val="2"/>
          <w:szCs w:val="22"/>
        </w:rPr>
        <w:t>环保新材料有限公司</w:t>
      </w:r>
    </w:p>
    <w:p w14:paraId="563A64F4">
      <w:pPr>
        <w:widowControl w:val="0"/>
        <w:spacing w:line="360" w:lineRule="auto"/>
        <w:ind w:firstLine="5040" w:firstLineChars="2100"/>
        <w:rPr>
          <w:rFonts w:cs="Times New Roman"/>
          <w:kern w:val="2"/>
          <w:szCs w:val="22"/>
          <w:highlight w:val="yellow"/>
        </w:rPr>
      </w:pPr>
      <w:r>
        <w:rPr>
          <w:rFonts w:cs="Times New Roman"/>
          <w:kern w:val="2"/>
          <w:szCs w:val="22"/>
          <w:highlight w:val="none"/>
        </w:rPr>
        <w:t>20</w:t>
      </w:r>
      <w:r>
        <w:rPr>
          <w:rFonts w:hint="eastAsia" w:cs="Times New Roman"/>
          <w:kern w:val="2"/>
          <w:szCs w:val="22"/>
          <w:highlight w:val="none"/>
        </w:rPr>
        <w:t>2</w:t>
      </w:r>
      <w:r>
        <w:rPr>
          <w:rFonts w:hint="eastAsia" w:cs="Times New Roman"/>
          <w:kern w:val="2"/>
          <w:szCs w:val="22"/>
          <w:highlight w:val="none"/>
          <w:lang w:val="en-US" w:eastAsia="zh-CN"/>
        </w:rPr>
        <w:t>6</w:t>
      </w:r>
      <w:r>
        <w:rPr>
          <w:rFonts w:cs="Times New Roman"/>
          <w:kern w:val="2"/>
          <w:szCs w:val="22"/>
          <w:highlight w:val="none"/>
        </w:rPr>
        <w:t>年</w:t>
      </w:r>
      <w:r>
        <w:rPr>
          <w:rFonts w:hint="eastAsia" w:cs="Times New Roman"/>
          <w:kern w:val="2"/>
          <w:szCs w:val="22"/>
          <w:highlight w:val="none"/>
          <w:lang w:val="en-US" w:eastAsia="zh-CN"/>
        </w:rPr>
        <w:t>6</w:t>
      </w:r>
      <w:r>
        <w:rPr>
          <w:rFonts w:cs="Times New Roman"/>
          <w:kern w:val="2"/>
          <w:szCs w:val="22"/>
          <w:highlight w:val="none"/>
        </w:rPr>
        <w:t>月</w:t>
      </w:r>
      <w:r>
        <w:rPr>
          <w:rFonts w:hint="eastAsia" w:cs="Times New Roman"/>
          <w:kern w:val="2"/>
          <w:szCs w:val="22"/>
          <w:highlight w:val="none"/>
          <w:lang w:val="en-US" w:eastAsia="zh-CN"/>
        </w:rPr>
        <w:t>17</w:t>
      </w:r>
      <w:r>
        <w:rPr>
          <w:rFonts w:cs="Times New Roman"/>
          <w:kern w:val="2"/>
          <w:szCs w:val="22"/>
          <w:highlight w:val="none"/>
        </w:rPr>
        <w:t>日</w:t>
      </w:r>
    </w:p>
    <w:p w14:paraId="7C4DA393">
      <w:pPr>
        <w:pStyle w:val="56"/>
        <w:spacing w:before="156"/>
        <w:rPr>
          <w:b w:val="0"/>
          <w:bCs/>
          <w:sz w:val="36"/>
          <w:szCs w:val="36"/>
        </w:rPr>
      </w:pPr>
      <w:bookmarkStart w:id="19" w:name="_Toc508871671"/>
      <w:r>
        <w:rPr>
          <w:b w:val="0"/>
          <w:bCs/>
          <w:sz w:val="36"/>
          <w:szCs w:val="36"/>
        </w:rPr>
        <w:br w:type="page"/>
      </w:r>
      <w:bookmarkStart w:id="20" w:name="_Toc29274_WPSOffice_Level1"/>
      <w:bookmarkStart w:id="21" w:name="_Toc17877_WPSOffice_Level1"/>
      <w:r>
        <w:rPr>
          <w:rFonts w:hint="eastAsia"/>
          <w:b w:val="0"/>
          <w:bCs/>
          <w:sz w:val="36"/>
          <w:szCs w:val="36"/>
        </w:rPr>
        <w:t>第二章</w:t>
      </w:r>
      <w:r>
        <w:rPr>
          <w:b w:val="0"/>
          <w:bCs/>
          <w:sz w:val="36"/>
          <w:szCs w:val="36"/>
        </w:rPr>
        <w:t xml:space="preserve">  </w:t>
      </w:r>
      <w:r>
        <w:rPr>
          <w:rFonts w:hint="eastAsia"/>
          <w:b w:val="0"/>
          <w:bCs/>
          <w:sz w:val="36"/>
          <w:szCs w:val="36"/>
        </w:rPr>
        <w:t>招标须知</w:t>
      </w:r>
      <w:bookmarkEnd w:id="19"/>
      <w:bookmarkEnd w:id="20"/>
      <w:bookmarkEnd w:id="21"/>
    </w:p>
    <w:p w14:paraId="0BBAFD6A">
      <w:pPr>
        <w:pStyle w:val="64"/>
        <w:rPr>
          <w:sz w:val="30"/>
          <w:szCs w:val="30"/>
        </w:rPr>
      </w:pPr>
      <w:bookmarkStart w:id="22" w:name="_Toc508871672"/>
      <w:r>
        <w:rPr>
          <w:rStyle w:val="96"/>
          <w:rFonts w:hint="eastAsia"/>
          <w:b w:val="0"/>
          <w:bCs w:val="0"/>
        </w:rPr>
        <w:t>须知前附表</w:t>
      </w:r>
      <w:bookmarkEnd w:id="22"/>
    </w:p>
    <w:tbl>
      <w:tblPr>
        <w:tblStyle w:val="4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3D6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76B270B8">
            <w:pPr>
              <w:spacing w:line="400" w:lineRule="exact"/>
              <w:jc w:val="center"/>
              <w:rPr>
                <w:b/>
              </w:rPr>
            </w:pPr>
            <w:r>
              <w:rPr>
                <w:rFonts w:hint="eastAsia"/>
                <w:b/>
              </w:rPr>
              <w:t>条款号</w:t>
            </w:r>
          </w:p>
        </w:tc>
        <w:tc>
          <w:tcPr>
            <w:tcW w:w="1660" w:type="dxa"/>
            <w:noWrap w:val="0"/>
            <w:vAlign w:val="center"/>
          </w:tcPr>
          <w:p w14:paraId="3DC3F018">
            <w:pPr>
              <w:spacing w:line="400" w:lineRule="exact"/>
              <w:jc w:val="center"/>
              <w:rPr>
                <w:b/>
              </w:rPr>
            </w:pPr>
            <w:r>
              <w:rPr>
                <w:rFonts w:hint="eastAsia"/>
                <w:b/>
              </w:rPr>
              <w:t>条款名称</w:t>
            </w:r>
          </w:p>
        </w:tc>
        <w:tc>
          <w:tcPr>
            <w:tcW w:w="7151" w:type="dxa"/>
            <w:gridSpan w:val="2"/>
            <w:noWrap w:val="0"/>
            <w:vAlign w:val="center"/>
          </w:tcPr>
          <w:p w14:paraId="552F2B9F">
            <w:pPr>
              <w:spacing w:line="340" w:lineRule="exact"/>
              <w:jc w:val="center"/>
              <w:rPr>
                <w:b/>
              </w:rPr>
            </w:pPr>
            <w:r>
              <w:rPr>
                <w:rFonts w:hint="eastAsia"/>
                <w:b/>
              </w:rPr>
              <w:t>编列内容</w:t>
            </w:r>
          </w:p>
        </w:tc>
      </w:tr>
      <w:tr w14:paraId="0CE4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512A188">
            <w:pPr>
              <w:jc w:val="center"/>
            </w:pPr>
            <w:r>
              <w:rPr>
                <w:rFonts w:hint="eastAsia"/>
              </w:rPr>
              <w:t>1.1.1</w:t>
            </w:r>
          </w:p>
        </w:tc>
        <w:tc>
          <w:tcPr>
            <w:tcW w:w="1660" w:type="dxa"/>
            <w:noWrap w:val="0"/>
            <w:vAlign w:val="center"/>
          </w:tcPr>
          <w:p w14:paraId="6CD9D632">
            <w:pPr>
              <w:jc w:val="center"/>
            </w:pPr>
            <w:r>
              <w:rPr>
                <w:rFonts w:hint="eastAsia"/>
              </w:rPr>
              <w:t>招标人</w:t>
            </w:r>
          </w:p>
        </w:tc>
        <w:tc>
          <w:tcPr>
            <w:tcW w:w="7151" w:type="dxa"/>
            <w:gridSpan w:val="2"/>
            <w:noWrap w:val="0"/>
            <w:vAlign w:val="center"/>
          </w:tcPr>
          <w:p w14:paraId="4CB6FDDA">
            <w:pPr>
              <w:spacing w:line="340" w:lineRule="exact"/>
            </w:pPr>
            <w:r>
              <w:rPr>
                <w:rFonts w:hint="eastAsia"/>
              </w:rPr>
              <w:t>山东济钢环保新材料有限公司</w:t>
            </w:r>
          </w:p>
        </w:tc>
      </w:tr>
      <w:tr w14:paraId="0216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2D81688">
            <w:pPr>
              <w:jc w:val="center"/>
            </w:pPr>
            <w:r>
              <w:rPr>
                <w:rFonts w:hint="eastAsia"/>
              </w:rPr>
              <w:t>1.1.2</w:t>
            </w:r>
          </w:p>
        </w:tc>
        <w:tc>
          <w:tcPr>
            <w:tcW w:w="1660" w:type="dxa"/>
            <w:noWrap w:val="0"/>
            <w:vAlign w:val="center"/>
          </w:tcPr>
          <w:p w14:paraId="652676ED">
            <w:pPr>
              <w:jc w:val="center"/>
            </w:pPr>
            <w:r>
              <w:rPr>
                <w:rFonts w:hint="eastAsia"/>
              </w:rPr>
              <w:t>项目名称</w:t>
            </w:r>
          </w:p>
        </w:tc>
        <w:tc>
          <w:tcPr>
            <w:tcW w:w="7151" w:type="dxa"/>
            <w:gridSpan w:val="2"/>
            <w:noWrap w:val="0"/>
            <w:vAlign w:val="center"/>
          </w:tcPr>
          <w:p w14:paraId="69992F78">
            <w:pPr>
              <w:spacing w:line="340" w:lineRule="exact"/>
              <w:rPr>
                <w:rFonts w:hint="default" w:eastAsia="宋体"/>
                <w:lang w:val="en-US" w:eastAsia="zh-CN"/>
              </w:rPr>
            </w:pPr>
            <w:r>
              <w:rPr>
                <w:rFonts w:hint="eastAsia"/>
                <w:lang w:val="en-US" w:eastAsia="zh-CN"/>
              </w:rPr>
              <w:t>起重机械</w:t>
            </w:r>
            <w:r>
              <w:rPr>
                <w:rFonts w:hint="eastAsia"/>
                <w:lang w:val="zh-CN" w:eastAsia="zh-CN"/>
              </w:rPr>
              <w:t>维修保养服务项目</w:t>
            </w:r>
          </w:p>
        </w:tc>
      </w:tr>
      <w:tr w14:paraId="7FB3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958" w:type="dxa"/>
            <w:noWrap w:val="0"/>
            <w:vAlign w:val="center"/>
          </w:tcPr>
          <w:p w14:paraId="2981AC71">
            <w:pPr>
              <w:jc w:val="center"/>
            </w:pPr>
            <w:r>
              <w:rPr>
                <w:rFonts w:hint="eastAsia"/>
              </w:rPr>
              <w:t>1.1.3</w:t>
            </w:r>
          </w:p>
        </w:tc>
        <w:tc>
          <w:tcPr>
            <w:tcW w:w="1660" w:type="dxa"/>
            <w:noWrap w:val="0"/>
            <w:vAlign w:val="center"/>
          </w:tcPr>
          <w:p w14:paraId="261AF53D">
            <w:pPr>
              <w:spacing w:line="240" w:lineRule="atLeast"/>
              <w:jc w:val="center"/>
            </w:pPr>
            <w:r>
              <w:rPr>
                <w:rFonts w:hint="eastAsia"/>
              </w:rPr>
              <w:t>项目概况</w:t>
            </w:r>
          </w:p>
        </w:tc>
        <w:tc>
          <w:tcPr>
            <w:tcW w:w="7151" w:type="dxa"/>
            <w:gridSpan w:val="2"/>
            <w:noWrap w:val="0"/>
            <w:vAlign w:val="center"/>
          </w:tcPr>
          <w:p w14:paraId="643B5BB6">
            <w:pPr>
              <w:spacing w:line="340" w:lineRule="exact"/>
              <w:rPr>
                <w:rFonts w:hint="default" w:eastAsia="宋体"/>
                <w:lang w:val="en-US" w:eastAsia="zh-CN"/>
              </w:rPr>
            </w:pPr>
            <w:r>
              <w:rPr>
                <w:rFonts w:hint="eastAsia"/>
                <w:lang w:val="en-US" w:eastAsia="zh-CN"/>
              </w:rPr>
              <w:t>见招标公告</w:t>
            </w:r>
          </w:p>
        </w:tc>
      </w:tr>
      <w:tr w14:paraId="4FA0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92D59EB">
            <w:pPr>
              <w:jc w:val="center"/>
              <w:rPr>
                <w:rFonts w:hint="eastAsia"/>
              </w:rPr>
            </w:pPr>
            <w:r>
              <w:rPr>
                <w:rFonts w:hint="eastAsia"/>
              </w:rPr>
              <w:t>1.1.4</w:t>
            </w:r>
          </w:p>
        </w:tc>
        <w:tc>
          <w:tcPr>
            <w:tcW w:w="1660" w:type="dxa"/>
            <w:noWrap w:val="0"/>
            <w:vAlign w:val="center"/>
          </w:tcPr>
          <w:p w14:paraId="53631EBD">
            <w:pPr>
              <w:spacing w:line="240" w:lineRule="atLeast"/>
              <w:jc w:val="center"/>
            </w:pPr>
            <w:r>
              <w:rPr>
                <w:rFonts w:hint="eastAsia"/>
              </w:rPr>
              <w:t>项目地点</w:t>
            </w:r>
          </w:p>
        </w:tc>
        <w:tc>
          <w:tcPr>
            <w:tcW w:w="7151" w:type="dxa"/>
            <w:gridSpan w:val="2"/>
            <w:noWrap w:val="0"/>
            <w:vAlign w:val="center"/>
          </w:tcPr>
          <w:p w14:paraId="4BEB3CBE">
            <w:pPr>
              <w:spacing w:line="340" w:lineRule="exact"/>
            </w:pPr>
            <w:r>
              <w:rPr>
                <w:rFonts w:hint="eastAsia"/>
              </w:rPr>
              <w:t>山东省济南市章丘区官庄街道青野村东</w:t>
            </w:r>
          </w:p>
        </w:tc>
      </w:tr>
      <w:tr w14:paraId="1D67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20ABE4F">
            <w:pPr>
              <w:jc w:val="center"/>
            </w:pPr>
            <w:r>
              <w:rPr>
                <w:rFonts w:hint="eastAsia"/>
              </w:rPr>
              <w:t>1.2.1</w:t>
            </w:r>
          </w:p>
        </w:tc>
        <w:tc>
          <w:tcPr>
            <w:tcW w:w="1660" w:type="dxa"/>
            <w:noWrap w:val="0"/>
            <w:vAlign w:val="center"/>
          </w:tcPr>
          <w:p w14:paraId="4C11C3F5">
            <w:pPr>
              <w:spacing w:line="240" w:lineRule="atLeast"/>
              <w:jc w:val="center"/>
            </w:pPr>
            <w:r>
              <w:rPr>
                <w:rFonts w:hint="eastAsia"/>
              </w:rPr>
              <w:t>资金来源</w:t>
            </w:r>
          </w:p>
        </w:tc>
        <w:tc>
          <w:tcPr>
            <w:tcW w:w="7151" w:type="dxa"/>
            <w:gridSpan w:val="2"/>
            <w:noWrap w:val="0"/>
            <w:vAlign w:val="center"/>
          </w:tcPr>
          <w:p w14:paraId="23809A42">
            <w:pPr>
              <w:spacing w:line="340" w:lineRule="exact"/>
            </w:pPr>
            <w:r>
              <w:rPr>
                <w:rFonts w:hint="eastAsia"/>
              </w:rPr>
              <w:t>自有资金</w:t>
            </w:r>
          </w:p>
          <w:p w14:paraId="6EFE3C38">
            <w:pPr>
              <w:spacing w:line="340" w:lineRule="exact"/>
            </w:pPr>
          </w:p>
        </w:tc>
      </w:tr>
      <w:tr w14:paraId="713B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33F7F1A8">
            <w:pPr>
              <w:jc w:val="center"/>
            </w:pPr>
            <w:r>
              <w:rPr>
                <w:rFonts w:hint="eastAsia"/>
              </w:rPr>
              <w:t>1.2.2</w:t>
            </w:r>
          </w:p>
        </w:tc>
        <w:tc>
          <w:tcPr>
            <w:tcW w:w="1660" w:type="dxa"/>
            <w:noWrap w:val="0"/>
            <w:vAlign w:val="center"/>
          </w:tcPr>
          <w:p w14:paraId="7834E716">
            <w:pPr>
              <w:spacing w:line="240" w:lineRule="atLeast"/>
              <w:jc w:val="center"/>
            </w:pPr>
            <w:r>
              <w:rPr>
                <w:rFonts w:hint="eastAsia"/>
              </w:rPr>
              <w:t>招标方式</w:t>
            </w:r>
          </w:p>
        </w:tc>
        <w:tc>
          <w:tcPr>
            <w:tcW w:w="7151" w:type="dxa"/>
            <w:gridSpan w:val="2"/>
            <w:noWrap w:val="0"/>
            <w:vAlign w:val="center"/>
          </w:tcPr>
          <w:p w14:paraId="68C0ADBC">
            <w:pPr>
              <w:spacing w:line="340" w:lineRule="exact"/>
            </w:pPr>
            <w:r>
              <w:rPr>
                <w:rFonts w:hint="eastAsia"/>
              </w:rPr>
              <w:t>公开招标，资格后审</w:t>
            </w:r>
          </w:p>
        </w:tc>
      </w:tr>
      <w:tr w14:paraId="6366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noWrap w:val="0"/>
            <w:vAlign w:val="center"/>
          </w:tcPr>
          <w:p w14:paraId="6730933D">
            <w:pPr>
              <w:jc w:val="center"/>
            </w:pPr>
            <w:r>
              <w:rPr>
                <w:rFonts w:hint="eastAsia"/>
              </w:rPr>
              <w:t>1.3.1</w:t>
            </w:r>
          </w:p>
        </w:tc>
        <w:tc>
          <w:tcPr>
            <w:tcW w:w="1660" w:type="dxa"/>
            <w:noWrap w:val="0"/>
            <w:vAlign w:val="center"/>
          </w:tcPr>
          <w:p w14:paraId="1DDDCB0A">
            <w:pPr>
              <w:spacing w:line="360" w:lineRule="exact"/>
              <w:jc w:val="center"/>
            </w:pPr>
            <w:r>
              <w:rPr>
                <w:rFonts w:hint="eastAsia"/>
              </w:rPr>
              <w:t>招标范围</w:t>
            </w:r>
          </w:p>
        </w:tc>
        <w:tc>
          <w:tcPr>
            <w:tcW w:w="7151" w:type="dxa"/>
            <w:gridSpan w:val="2"/>
            <w:noWrap w:val="0"/>
            <w:vAlign w:val="center"/>
          </w:tcPr>
          <w:p w14:paraId="074D2DE5">
            <w:pPr>
              <w:spacing w:line="360" w:lineRule="auto"/>
              <w:rPr>
                <w:rFonts w:hint="default" w:eastAsia="宋体"/>
                <w:lang w:val="en-US" w:eastAsia="zh-CN"/>
              </w:rPr>
            </w:pPr>
            <w:r>
              <w:rPr>
                <w:rFonts w:hint="eastAsia"/>
                <w:lang w:val="en-US" w:eastAsia="zh-CN"/>
              </w:rPr>
              <w:t>见招标公告</w:t>
            </w:r>
          </w:p>
        </w:tc>
      </w:tr>
      <w:tr w14:paraId="2690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noWrap w:val="0"/>
            <w:vAlign w:val="center"/>
          </w:tcPr>
          <w:p w14:paraId="4CB3D782">
            <w:pPr>
              <w:spacing w:line="240" w:lineRule="atLeast"/>
              <w:jc w:val="center"/>
            </w:pPr>
            <w:r>
              <w:rPr>
                <w:rFonts w:hint="eastAsia"/>
              </w:rPr>
              <w:t>1.3.3</w:t>
            </w:r>
          </w:p>
        </w:tc>
        <w:tc>
          <w:tcPr>
            <w:tcW w:w="1660" w:type="dxa"/>
            <w:noWrap w:val="0"/>
            <w:vAlign w:val="center"/>
          </w:tcPr>
          <w:p w14:paraId="2BEDE5EA">
            <w:pPr>
              <w:spacing w:line="240" w:lineRule="atLeast"/>
              <w:jc w:val="center"/>
            </w:pPr>
            <w:r>
              <w:rPr>
                <w:rFonts w:hint="eastAsia"/>
              </w:rPr>
              <w:t>地点</w:t>
            </w:r>
          </w:p>
        </w:tc>
        <w:tc>
          <w:tcPr>
            <w:tcW w:w="7151" w:type="dxa"/>
            <w:gridSpan w:val="2"/>
            <w:noWrap w:val="0"/>
            <w:vAlign w:val="center"/>
          </w:tcPr>
          <w:p w14:paraId="58171458">
            <w:pPr>
              <w:spacing w:line="340" w:lineRule="exact"/>
              <w:rPr>
                <w:b/>
              </w:rPr>
            </w:pPr>
            <w:r>
              <w:rPr>
                <w:rFonts w:hint="eastAsia"/>
              </w:rPr>
              <w:t>山东省济南市章丘区官庄街道青野村东</w:t>
            </w:r>
          </w:p>
        </w:tc>
      </w:tr>
      <w:tr w14:paraId="6656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7FFF775">
            <w:pPr>
              <w:spacing w:line="240" w:lineRule="atLeast"/>
              <w:jc w:val="center"/>
              <w:rPr>
                <w:rFonts w:hint="eastAsia"/>
              </w:rPr>
            </w:pPr>
            <w:r>
              <w:rPr>
                <w:rFonts w:hint="eastAsia"/>
              </w:rPr>
              <w:t>1.3.4</w:t>
            </w:r>
          </w:p>
        </w:tc>
        <w:tc>
          <w:tcPr>
            <w:tcW w:w="1660" w:type="dxa"/>
            <w:noWrap w:val="0"/>
            <w:vAlign w:val="center"/>
          </w:tcPr>
          <w:p w14:paraId="2FC1E6C2">
            <w:pPr>
              <w:spacing w:line="240" w:lineRule="atLeast"/>
              <w:jc w:val="center"/>
              <w:rPr>
                <w:b/>
              </w:rPr>
            </w:pPr>
            <w:r>
              <w:rPr>
                <w:rFonts w:hint="eastAsia"/>
              </w:rPr>
              <w:t>质保期</w:t>
            </w:r>
          </w:p>
        </w:tc>
        <w:tc>
          <w:tcPr>
            <w:tcW w:w="7151" w:type="dxa"/>
            <w:gridSpan w:val="2"/>
            <w:noWrap w:val="0"/>
            <w:vAlign w:val="center"/>
          </w:tcPr>
          <w:p w14:paraId="0404483E">
            <w:pPr>
              <w:spacing w:line="340" w:lineRule="exact"/>
              <w:rPr>
                <w:rFonts w:hint="default" w:eastAsia="宋体"/>
                <w:b/>
                <w:lang w:val="en-US" w:eastAsia="zh-CN"/>
              </w:rPr>
            </w:pPr>
            <w:r>
              <w:rPr>
                <w:rFonts w:hint="eastAsia"/>
                <w:lang w:val="en-US" w:eastAsia="zh-CN"/>
              </w:rPr>
              <w:t>维修后12个月</w:t>
            </w:r>
          </w:p>
        </w:tc>
      </w:tr>
      <w:tr w14:paraId="7AC7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2FD9D739">
            <w:pPr>
              <w:jc w:val="center"/>
            </w:pPr>
            <w:r>
              <w:rPr>
                <w:rFonts w:hint="eastAsia"/>
              </w:rPr>
              <w:t>1.4.1</w:t>
            </w:r>
          </w:p>
        </w:tc>
        <w:tc>
          <w:tcPr>
            <w:tcW w:w="1660" w:type="dxa"/>
            <w:noWrap w:val="0"/>
            <w:vAlign w:val="center"/>
          </w:tcPr>
          <w:p w14:paraId="6BE12246">
            <w:pPr>
              <w:spacing w:line="360" w:lineRule="exact"/>
              <w:jc w:val="center"/>
            </w:pPr>
            <w:r>
              <w:rPr>
                <w:rFonts w:hint="eastAsia"/>
              </w:rPr>
              <w:t xml:space="preserve">投标人的资格要求 </w:t>
            </w:r>
          </w:p>
        </w:tc>
        <w:tc>
          <w:tcPr>
            <w:tcW w:w="7151" w:type="dxa"/>
            <w:gridSpan w:val="2"/>
            <w:noWrap w:val="0"/>
            <w:vAlign w:val="center"/>
          </w:tcPr>
          <w:p w14:paraId="5FD17BA7">
            <w:pPr>
              <w:spacing w:line="340" w:lineRule="exact"/>
              <w:rPr>
                <w:rFonts w:hint="default" w:eastAsia="宋体"/>
                <w:lang w:val="en-US" w:eastAsia="zh-CN"/>
              </w:rPr>
            </w:pPr>
            <w:r>
              <w:rPr>
                <w:rFonts w:hint="eastAsia"/>
                <w:lang w:val="en-US" w:eastAsia="zh-CN"/>
              </w:rPr>
              <w:t>见招标公告</w:t>
            </w:r>
          </w:p>
        </w:tc>
      </w:tr>
      <w:tr w14:paraId="39C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E55CD3F">
            <w:pPr>
              <w:spacing w:line="240" w:lineRule="atLeast"/>
              <w:jc w:val="center"/>
            </w:pPr>
            <w:r>
              <w:rPr>
                <w:rFonts w:hint="eastAsia"/>
              </w:rPr>
              <w:t>1.4.2</w:t>
            </w:r>
          </w:p>
        </w:tc>
        <w:tc>
          <w:tcPr>
            <w:tcW w:w="1660" w:type="dxa"/>
            <w:noWrap w:val="0"/>
            <w:vAlign w:val="center"/>
          </w:tcPr>
          <w:p w14:paraId="086BD154">
            <w:pPr>
              <w:spacing w:line="240" w:lineRule="atLeast"/>
              <w:jc w:val="center"/>
            </w:pPr>
            <w:r>
              <w:rPr>
                <w:rFonts w:hint="eastAsia"/>
              </w:rPr>
              <w:t>是否接受联合体</w:t>
            </w:r>
          </w:p>
        </w:tc>
        <w:tc>
          <w:tcPr>
            <w:tcW w:w="7151" w:type="dxa"/>
            <w:gridSpan w:val="2"/>
            <w:noWrap w:val="0"/>
            <w:vAlign w:val="center"/>
          </w:tcPr>
          <w:p w14:paraId="50DC7154">
            <w:pPr>
              <w:spacing w:line="340" w:lineRule="exact"/>
            </w:pPr>
            <w:r>
              <w:rPr>
                <w:rFonts w:hint="eastAsia"/>
              </w:rPr>
              <w:t>不接受</w:t>
            </w:r>
          </w:p>
        </w:tc>
      </w:tr>
      <w:tr w14:paraId="243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EBB5CF8">
            <w:pPr>
              <w:spacing w:line="240" w:lineRule="atLeast"/>
              <w:jc w:val="center"/>
              <w:rPr>
                <w:rFonts w:hint="eastAsia"/>
              </w:rPr>
            </w:pPr>
            <w:r>
              <w:rPr>
                <w:rFonts w:hint="eastAsia"/>
              </w:rPr>
              <w:t>1.9</w:t>
            </w:r>
          </w:p>
        </w:tc>
        <w:tc>
          <w:tcPr>
            <w:tcW w:w="1660" w:type="dxa"/>
            <w:noWrap w:val="0"/>
            <w:vAlign w:val="center"/>
          </w:tcPr>
          <w:p w14:paraId="6D061A13">
            <w:pPr>
              <w:spacing w:line="240" w:lineRule="atLeast"/>
              <w:jc w:val="center"/>
            </w:pPr>
            <w:r>
              <w:rPr>
                <w:rFonts w:hint="eastAsia"/>
              </w:rPr>
              <w:t>是否组织现场踏勘</w:t>
            </w:r>
          </w:p>
        </w:tc>
        <w:tc>
          <w:tcPr>
            <w:tcW w:w="7151" w:type="dxa"/>
            <w:gridSpan w:val="2"/>
            <w:noWrap w:val="0"/>
            <w:vAlign w:val="center"/>
          </w:tcPr>
          <w:p w14:paraId="735F5CD3">
            <w:pPr>
              <w:spacing w:line="340" w:lineRule="exact"/>
            </w:pPr>
            <w:r>
              <w:rPr>
                <w:rFonts w:hint="eastAsia"/>
              </w:rPr>
              <w:t>不统一组织现场踏勘</w:t>
            </w:r>
          </w:p>
        </w:tc>
      </w:tr>
      <w:tr w14:paraId="783F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08D2618">
            <w:pPr>
              <w:spacing w:line="240" w:lineRule="atLeast"/>
              <w:jc w:val="center"/>
            </w:pPr>
            <w:r>
              <w:rPr>
                <w:rFonts w:hint="eastAsia"/>
              </w:rPr>
              <w:t>1.10</w:t>
            </w:r>
          </w:p>
        </w:tc>
        <w:tc>
          <w:tcPr>
            <w:tcW w:w="1660" w:type="dxa"/>
            <w:noWrap w:val="0"/>
            <w:vAlign w:val="center"/>
          </w:tcPr>
          <w:p w14:paraId="3CCC8511">
            <w:pPr>
              <w:spacing w:line="240" w:lineRule="atLeast"/>
              <w:jc w:val="center"/>
            </w:pPr>
            <w:r>
              <w:rPr>
                <w:rFonts w:hint="eastAsia"/>
              </w:rPr>
              <w:t>招标预备会</w:t>
            </w:r>
          </w:p>
        </w:tc>
        <w:tc>
          <w:tcPr>
            <w:tcW w:w="7151" w:type="dxa"/>
            <w:gridSpan w:val="2"/>
            <w:noWrap w:val="0"/>
            <w:vAlign w:val="center"/>
          </w:tcPr>
          <w:p w14:paraId="0F0E0220">
            <w:pPr>
              <w:spacing w:line="340" w:lineRule="exact"/>
            </w:pPr>
            <w:r>
              <w:rPr>
                <w:rFonts w:hint="eastAsia"/>
              </w:rPr>
              <w:t>不召开</w:t>
            </w:r>
          </w:p>
        </w:tc>
      </w:tr>
      <w:tr w14:paraId="6494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8" w:type="dxa"/>
            <w:noWrap w:val="0"/>
            <w:vAlign w:val="center"/>
          </w:tcPr>
          <w:p w14:paraId="0B65CEB0">
            <w:pPr>
              <w:jc w:val="center"/>
            </w:pPr>
            <w:r>
              <w:rPr>
                <w:rFonts w:hint="eastAsia"/>
              </w:rPr>
              <w:t>2.1.1</w:t>
            </w:r>
          </w:p>
        </w:tc>
        <w:tc>
          <w:tcPr>
            <w:tcW w:w="1660" w:type="dxa"/>
            <w:noWrap w:val="0"/>
            <w:vAlign w:val="center"/>
          </w:tcPr>
          <w:p w14:paraId="2D713AA9">
            <w:pPr>
              <w:spacing w:line="360" w:lineRule="exact"/>
              <w:jc w:val="center"/>
              <w:rPr>
                <w:rFonts w:hint="eastAsia"/>
              </w:rPr>
            </w:pPr>
            <w:r>
              <w:rPr>
                <w:rFonts w:hint="eastAsia"/>
              </w:rPr>
              <w:t>构成招标文件的其他材料</w:t>
            </w:r>
          </w:p>
        </w:tc>
        <w:tc>
          <w:tcPr>
            <w:tcW w:w="7151" w:type="dxa"/>
            <w:gridSpan w:val="2"/>
            <w:noWrap w:val="0"/>
            <w:vAlign w:val="center"/>
          </w:tcPr>
          <w:p w14:paraId="20A28739">
            <w:pPr>
              <w:spacing w:line="340" w:lineRule="exact"/>
              <w:rPr>
                <w:rFonts w:hint="eastAsia"/>
              </w:rPr>
            </w:pPr>
            <w:r>
              <w:rPr>
                <w:rFonts w:hint="eastAsia"/>
              </w:rPr>
              <w:t>招标文件澄清、答疑、补充文件等</w:t>
            </w:r>
          </w:p>
        </w:tc>
      </w:tr>
      <w:tr w14:paraId="2FF5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2316C2EA">
            <w:pPr>
              <w:jc w:val="center"/>
              <w:rPr>
                <w:rFonts w:hint="eastAsia"/>
              </w:rPr>
            </w:pPr>
            <w:r>
              <w:rPr>
                <w:rFonts w:hint="eastAsia"/>
              </w:rPr>
              <w:t>2.1.3</w:t>
            </w:r>
          </w:p>
        </w:tc>
        <w:tc>
          <w:tcPr>
            <w:tcW w:w="1660" w:type="dxa"/>
            <w:noWrap w:val="0"/>
            <w:vAlign w:val="center"/>
          </w:tcPr>
          <w:p w14:paraId="47DCDD64">
            <w:pPr>
              <w:spacing w:line="360" w:lineRule="exact"/>
              <w:jc w:val="center"/>
            </w:pPr>
            <w:r>
              <w:rPr>
                <w:rFonts w:hint="eastAsia"/>
              </w:rPr>
              <w:t>招标文件的发布</w:t>
            </w:r>
          </w:p>
        </w:tc>
        <w:tc>
          <w:tcPr>
            <w:tcW w:w="7151" w:type="dxa"/>
            <w:gridSpan w:val="2"/>
            <w:noWrap w:val="0"/>
            <w:vAlign w:val="center"/>
          </w:tcPr>
          <w:p w14:paraId="4EA9EA83">
            <w:pPr>
              <w:spacing w:line="340" w:lineRule="exact"/>
            </w:pPr>
            <w:r>
              <w:rPr>
                <w:rFonts w:hint="eastAsia"/>
              </w:rPr>
              <w:t>本招标文件在济钢集团有限公司阳光购销平台（网址：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上发布。除上述媒介以外的媒介转载或发布与本次招标相关信息的，招标人不承担任何责任并保留追究相关方责任的权利。</w:t>
            </w:r>
          </w:p>
        </w:tc>
      </w:tr>
      <w:tr w14:paraId="17D7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A338891">
            <w:pPr>
              <w:jc w:val="center"/>
              <w:rPr>
                <w:rFonts w:hint="eastAsia"/>
              </w:rPr>
            </w:pPr>
            <w:r>
              <w:rPr>
                <w:rFonts w:hint="eastAsia"/>
              </w:rPr>
              <w:t>2.2.2</w:t>
            </w:r>
          </w:p>
        </w:tc>
        <w:tc>
          <w:tcPr>
            <w:tcW w:w="1660" w:type="dxa"/>
            <w:noWrap w:val="0"/>
            <w:vAlign w:val="center"/>
          </w:tcPr>
          <w:p w14:paraId="75580A6D">
            <w:pPr>
              <w:spacing w:line="442" w:lineRule="exact"/>
              <w:jc w:val="center"/>
              <w:rPr>
                <w:rFonts w:hint="eastAsia"/>
              </w:rPr>
            </w:pPr>
            <w:r>
              <w:rPr>
                <w:rFonts w:hint="eastAsia"/>
              </w:rPr>
              <w:t>招标</w:t>
            </w:r>
            <w:r>
              <w:t>文件的</w:t>
            </w:r>
            <w:r>
              <w:rPr>
                <w:rFonts w:hint="eastAsia"/>
              </w:rPr>
              <w:t>澄清</w:t>
            </w:r>
          </w:p>
        </w:tc>
        <w:tc>
          <w:tcPr>
            <w:tcW w:w="7151" w:type="dxa"/>
            <w:gridSpan w:val="2"/>
            <w:tcBorders>
              <w:bottom w:val="single" w:color="auto" w:sz="4" w:space="0"/>
            </w:tcBorders>
            <w:noWrap w:val="0"/>
            <w:vAlign w:val="center"/>
          </w:tcPr>
          <w:p w14:paraId="67901223">
            <w:pPr>
              <w:spacing w:line="398" w:lineRule="exact"/>
              <w:rPr>
                <w:rFonts w:hint="eastAsia"/>
                <w:highlight w:val="none"/>
              </w:rPr>
            </w:pPr>
            <w:r>
              <w:rPr>
                <w:rFonts w:hint="eastAsia"/>
                <w:highlight w:val="none"/>
              </w:rPr>
              <w:t>招标</w:t>
            </w:r>
            <w:r>
              <w:rPr>
                <w:highlight w:val="none"/>
              </w:rPr>
              <w:t>文件</w:t>
            </w:r>
            <w:r>
              <w:rPr>
                <w:rFonts w:hint="eastAsia"/>
                <w:highlight w:val="none"/>
              </w:rPr>
              <w:t>澄清的</w:t>
            </w:r>
            <w:r>
              <w:rPr>
                <w:highlight w:val="none"/>
              </w:rPr>
              <w:t>截止时间</w:t>
            </w:r>
            <w:r>
              <w:rPr>
                <w:rFonts w:hint="eastAsia"/>
                <w:highlight w:val="none"/>
              </w:rPr>
              <w:t>为202</w:t>
            </w:r>
            <w:r>
              <w:rPr>
                <w:rFonts w:hint="eastAsia"/>
                <w:highlight w:val="none"/>
                <w:lang w:val="en-US" w:eastAsia="zh-CN"/>
              </w:rPr>
              <w:t>6</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30</w:t>
            </w:r>
            <w:r>
              <w:rPr>
                <w:rFonts w:hint="eastAsia"/>
                <w:highlight w:val="none"/>
              </w:rPr>
              <w:t>日，澄清文件在济钢集团有限公司阳光购销平台（网址：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w:t>
            </w:r>
          </w:p>
        </w:tc>
      </w:tr>
      <w:tr w14:paraId="1A55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76AAF6B">
            <w:pPr>
              <w:jc w:val="center"/>
              <w:rPr>
                <w:rFonts w:hint="eastAsia"/>
              </w:rPr>
            </w:pPr>
            <w:r>
              <w:rPr>
                <w:rFonts w:hint="eastAsia"/>
              </w:rPr>
              <w:t>2.3</w:t>
            </w:r>
          </w:p>
        </w:tc>
        <w:tc>
          <w:tcPr>
            <w:tcW w:w="1660" w:type="dxa"/>
            <w:noWrap w:val="0"/>
            <w:vAlign w:val="center"/>
          </w:tcPr>
          <w:p w14:paraId="192FF4DE">
            <w:pPr>
              <w:spacing w:line="360" w:lineRule="exact"/>
              <w:jc w:val="center"/>
              <w:rPr>
                <w:rFonts w:hint="eastAsia"/>
              </w:rPr>
            </w:pPr>
            <w:r>
              <w:rPr>
                <w:rFonts w:hint="eastAsia"/>
              </w:rPr>
              <w:t>招标</w:t>
            </w:r>
            <w:r>
              <w:t>文件</w:t>
            </w:r>
            <w:r>
              <w:rPr>
                <w:rFonts w:hint="eastAsia"/>
              </w:rPr>
              <w:t>的</w:t>
            </w:r>
            <w:r>
              <w:t>修改</w:t>
            </w:r>
          </w:p>
        </w:tc>
        <w:tc>
          <w:tcPr>
            <w:tcW w:w="7151" w:type="dxa"/>
            <w:gridSpan w:val="2"/>
            <w:tcBorders>
              <w:bottom w:val="single" w:color="auto" w:sz="4" w:space="0"/>
            </w:tcBorders>
            <w:noWrap w:val="0"/>
            <w:vAlign w:val="center"/>
          </w:tcPr>
          <w:p w14:paraId="1203EA3B">
            <w:pPr>
              <w:spacing w:line="398" w:lineRule="exact"/>
              <w:rPr>
                <w:rFonts w:hint="eastAsia"/>
                <w:highlight w:val="none"/>
              </w:rPr>
            </w:pPr>
            <w:r>
              <w:rPr>
                <w:rFonts w:hint="eastAsia"/>
                <w:highlight w:val="none"/>
              </w:rPr>
              <w:t>招标文件修改的截止时间为202</w:t>
            </w:r>
            <w:r>
              <w:rPr>
                <w:rFonts w:hint="eastAsia"/>
                <w:highlight w:val="none"/>
                <w:lang w:val="en-US" w:eastAsia="zh-CN"/>
              </w:rPr>
              <w:t>6</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30</w:t>
            </w:r>
            <w:r>
              <w:rPr>
                <w:rFonts w:hint="eastAsia"/>
                <w:highlight w:val="none"/>
              </w:rPr>
              <w:t>日，修改文件在济钢集团有限公司阳光购销平台（网址：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w:t>
            </w:r>
          </w:p>
        </w:tc>
      </w:tr>
      <w:tr w14:paraId="7FD3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D944A73">
            <w:pPr>
              <w:jc w:val="center"/>
            </w:pPr>
            <w:r>
              <w:rPr>
                <w:rFonts w:hint="eastAsia"/>
              </w:rPr>
              <w:t>3.1.1</w:t>
            </w:r>
          </w:p>
        </w:tc>
        <w:tc>
          <w:tcPr>
            <w:tcW w:w="1660" w:type="dxa"/>
            <w:noWrap w:val="0"/>
            <w:vAlign w:val="center"/>
          </w:tcPr>
          <w:p w14:paraId="504B5628">
            <w:pPr>
              <w:spacing w:line="360" w:lineRule="exact"/>
              <w:jc w:val="center"/>
            </w:pPr>
            <w:r>
              <w:rPr>
                <w:rFonts w:hint="eastAsia"/>
              </w:rPr>
              <w:t>投标文件内容</w:t>
            </w:r>
          </w:p>
        </w:tc>
        <w:tc>
          <w:tcPr>
            <w:tcW w:w="7151" w:type="dxa"/>
            <w:gridSpan w:val="2"/>
            <w:tcBorders>
              <w:bottom w:val="single" w:color="auto" w:sz="4" w:space="0"/>
            </w:tcBorders>
            <w:noWrap w:val="0"/>
            <w:vAlign w:val="center"/>
          </w:tcPr>
          <w:p w14:paraId="3D1AAE01">
            <w:pPr>
              <w:spacing w:line="340" w:lineRule="exact"/>
            </w:pPr>
            <w:r>
              <w:rPr>
                <w:rFonts w:hint="eastAsia"/>
              </w:rPr>
              <w:t>招标文件商务、技术部分内容</w:t>
            </w:r>
          </w:p>
        </w:tc>
      </w:tr>
      <w:tr w14:paraId="03C9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176C20B7">
            <w:pPr>
              <w:jc w:val="center"/>
            </w:pPr>
            <w:r>
              <w:rPr>
                <w:rFonts w:hint="eastAsia"/>
              </w:rPr>
              <w:t>3.2.1</w:t>
            </w:r>
          </w:p>
        </w:tc>
        <w:tc>
          <w:tcPr>
            <w:tcW w:w="1660" w:type="dxa"/>
            <w:shd w:val="clear" w:color="auto" w:fill="auto"/>
            <w:noWrap w:val="0"/>
            <w:vAlign w:val="center"/>
          </w:tcPr>
          <w:p w14:paraId="219C277E">
            <w:pPr>
              <w:spacing w:line="360" w:lineRule="exact"/>
              <w:jc w:val="center"/>
            </w:pPr>
            <w:r>
              <w:rPr>
                <w:rFonts w:hint="eastAsia"/>
              </w:rPr>
              <w:t>投标报价</w:t>
            </w:r>
          </w:p>
        </w:tc>
        <w:tc>
          <w:tcPr>
            <w:tcW w:w="7151" w:type="dxa"/>
            <w:gridSpan w:val="2"/>
            <w:shd w:val="clear" w:color="auto" w:fill="FFFFFF"/>
            <w:noWrap w:val="0"/>
            <w:vAlign w:val="center"/>
          </w:tcPr>
          <w:p w14:paraId="385C7101">
            <w:pPr>
              <w:spacing w:line="340" w:lineRule="exact"/>
            </w:pPr>
            <w:r>
              <w:rPr>
                <w:rFonts w:hint="eastAsia"/>
              </w:rPr>
              <w:t>1.报价方式：</w:t>
            </w:r>
            <w:r>
              <w:rPr>
                <w:rFonts w:hint="eastAsia"/>
                <w:lang w:val="en-US" w:eastAsia="zh-CN"/>
              </w:rPr>
              <w:t>分项报价、</w:t>
            </w:r>
            <w:r>
              <w:rPr>
                <w:rFonts w:hint="eastAsia"/>
              </w:rPr>
              <w:t xml:space="preserve">投标总价。 </w:t>
            </w:r>
          </w:p>
          <w:p w14:paraId="09A36682">
            <w:pPr>
              <w:spacing w:line="340" w:lineRule="exact"/>
            </w:pPr>
            <w:r>
              <w:rPr>
                <w:rFonts w:hint="eastAsia"/>
              </w:rPr>
              <w:t>2.报价币种：人民币。</w:t>
            </w:r>
          </w:p>
          <w:p w14:paraId="4FBFC5F7">
            <w:pPr>
              <w:spacing w:line="340" w:lineRule="exact"/>
              <w:rPr>
                <w:rFonts w:hint="eastAsia" w:eastAsia="宋体"/>
                <w:lang w:eastAsia="zh-CN"/>
              </w:rPr>
            </w:pPr>
            <w:r>
              <w:rPr>
                <w:rFonts w:hint="eastAsia"/>
              </w:rPr>
              <w:t>3.报价为</w:t>
            </w:r>
            <w:r>
              <w:rPr>
                <w:rFonts w:hint="eastAsia"/>
                <w:lang w:val="en-US" w:eastAsia="zh-CN"/>
              </w:rPr>
              <w:t>含税</w:t>
            </w:r>
            <w:r>
              <w:rPr>
                <w:rFonts w:hint="eastAsia"/>
              </w:rPr>
              <w:t>价格</w:t>
            </w:r>
            <w:r>
              <w:rPr>
                <w:rFonts w:hint="eastAsia"/>
                <w:lang w:eastAsia="zh-CN"/>
              </w:rPr>
              <w:t>。</w:t>
            </w:r>
          </w:p>
        </w:tc>
      </w:tr>
      <w:tr w14:paraId="4CB0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05F3E30">
            <w:pPr>
              <w:jc w:val="center"/>
            </w:pPr>
            <w:r>
              <w:rPr>
                <w:rFonts w:hint="eastAsia"/>
              </w:rPr>
              <w:t>3.2.2</w:t>
            </w:r>
          </w:p>
        </w:tc>
        <w:tc>
          <w:tcPr>
            <w:tcW w:w="1660" w:type="dxa"/>
            <w:noWrap w:val="0"/>
            <w:vAlign w:val="center"/>
          </w:tcPr>
          <w:p w14:paraId="0202007A">
            <w:pPr>
              <w:spacing w:line="360" w:lineRule="exact"/>
              <w:jc w:val="center"/>
              <w:rPr>
                <w:rFonts w:hint="eastAsia"/>
              </w:rPr>
            </w:pPr>
            <w:r>
              <w:rPr>
                <w:rFonts w:hint="eastAsia"/>
              </w:rPr>
              <w:t>投标报价修改</w:t>
            </w:r>
          </w:p>
        </w:tc>
        <w:tc>
          <w:tcPr>
            <w:tcW w:w="7151" w:type="dxa"/>
            <w:gridSpan w:val="2"/>
            <w:noWrap w:val="0"/>
            <w:vAlign w:val="center"/>
          </w:tcPr>
          <w:p w14:paraId="41877D6D">
            <w:pPr>
              <w:spacing w:line="340" w:lineRule="exact"/>
              <w:rPr>
                <w:rFonts w:hint="eastAsia"/>
              </w:rPr>
            </w:pPr>
            <w:r>
              <w:rPr>
                <w:rFonts w:hint="eastAsia"/>
              </w:rPr>
              <w:t>详见招标须知正文3.2.2节内容</w:t>
            </w:r>
          </w:p>
        </w:tc>
      </w:tr>
      <w:tr w14:paraId="47A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BBEDC8A">
            <w:pPr>
              <w:jc w:val="center"/>
            </w:pPr>
            <w:r>
              <w:rPr>
                <w:rFonts w:hint="eastAsia"/>
              </w:rPr>
              <w:t>3.3.1</w:t>
            </w:r>
          </w:p>
        </w:tc>
        <w:tc>
          <w:tcPr>
            <w:tcW w:w="1660" w:type="dxa"/>
            <w:noWrap w:val="0"/>
            <w:vAlign w:val="center"/>
          </w:tcPr>
          <w:p w14:paraId="7D89A028">
            <w:pPr>
              <w:spacing w:line="360" w:lineRule="exact"/>
              <w:jc w:val="center"/>
            </w:pPr>
            <w:r>
              <w:rPr>
                <w:rFonts w:hint="eastAsia"/>
              </w:rPr>
              <w:t>招标有效期</w:t>
            </w:r>
          </w:p>
        </w:tc>
        <w:tc>
          <w:tcPr>
            <w:tcW w:w="7151" w:type="dxa"/>
            <w:gridSpan w:val="2"/>
            <w:noWrap w:val="0"/>
            <w:vAlign w:val="center"/>
          </w:tcPr>
          <w:p w14:paraId="59244125">
            <w:pPr>
              <w:spacing w:line="340" w:lineRule="exact"/>
            </w:pPr>
            <w:r>
              <w:rPr>
                <w:rFonts w:hint="eastAsia"/>
              </w:rPr>
              <w:t>90日历天（自</w:t>
            </w:r>
            <w:r>
              <w:t>递交</w:t>
            </w:r>
            <w:r>
              <w:rPr>
                <w:rFonts w:hint="eastAsia"/>
              </w:rPr>
              <w:t>投标</w:t>
            </w:r>
            <w:r>
              <w:t>文件截止</w:t>
            </w:r>
            <w:r>
              <w:rPr>
                <w:rFonts w:hint="eastAsia"/>
              </w:rPr>
              <w:t>之日起）</w:t>
            </w:r>
          </w:p>
        </w:tc>
      </w:tr>
      <w:tr w14:paraId="09D4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0C045F4">
            <w:pPr>
              <w:jc w:val="center"/>
              <w:rPr>
                <w:color w:val="000000"/>
              </w:rPr>
            </w:pPr>
            <w:r>
              <w:rPr>
                <w:rFonts w:hint="eastAsia"/>
                <w:color w:val="000000"/>
              </w:rPr>
              <w:t>3.4</w:t>
            </w:r>
          </w:p>
        </w:tc>
        <w:tc>
          <w:tcPr>
            <w:tcW w:w="1660" w:type="dxa"/>
            <w:noWrap w:val="0"/>
            <w:vAlign w:val="center"/>
          </w:tcPr>
          <w:p w14:paraId="5D3CA424">
            <w:pPr>
              <w:spacing w:line="360" w:lineRule="exact"/>
              <w:jc w:val="center"/>
              <w:rPr>
                <w:color w:val="000000"/>
              </w:rPr>
            </w:pPr>
            <w:r>
              <w:rPr>
                <w:rFonts w:hint="eastAsia"/>
                <w:color w:val="000000"/>
              </w:rPr>
              <w:t>投标保证金</w:t>
            </w:r>
          </w:p>
        </w:tc>
        <w:tc>
          <w:tcPr>
            <w:tcW w:w="7151" w:type="dxa"/>
            <w:gridSpan w:val="2"/>
            <w:noWrap w:val="0"/>
            <w:vAlign w:val="center"/>
          </w:tcPr>
          <w:p w14:paraId="0A499651">
            <w:pPr>
              <w:spacing w:line="340" w:lineRule="exact"/>
              <w:rPr>
                <w:rFonts w:hint="default" w:eastAsia="宋体"/>
                <w:lang w:val="en-US" w:eastAsia="zh-CN"/>
              </w:rPr>
            </w:pPr>
            <w:r>
              <w:rPr>
                <w:rFonts w:hint="eastAsia"/>
                <w:lang w:val="en-US" w:eastAsia="zh-CN"/>
              </w:rPr>
              <w:t>无</w:t>
            </w:r>
          </w:p>
        </w:tc>
      </w:tr>
      <w:tr w14:paraId="2E70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4BE0103">
            <w:pPr>
              <w:jc w:val="center"/>
            </w:pPr>
            <w:r>
              <w:rPr>
                <w:rFonts w:hint="eastAsia"/>
              </w:rPr>
              <w:t>3.5.1</w:t>
            </w:r>
          </w:p>
        </w:tc>
        <w:tc>
          <w:tcPr>
            <w:tcW w:w="1660" w:type="dxa"/>
            <w:noWrap w:val="0"/>
            <w:vAlign w:val="center"/>
          </w:tcPr>
          <w:p w14:paraId="07C1B497">
            <w:pPr>
              <w:spacing w:line="360" w:lineRule="exact"/>
              <w:ind w:left="-120" w:leftChars="-50" w:right="-120" w:rightChars="-50"/>
              <w:jc w:val="center"/>
            </w:pPr>
            <w:r>
              <w:rPr>
                <w:rFonts w:hint="eastAsia"/>
              </w:rPr>
              <w:t>资格审查</w:t>
            </w:r>
          </w:p>
        </w:tc>
        <w:tc>
          <w:tcPr>
            <w:tcW w:w="7151" w:type="dxa"/>
            <w:gridSpan w:val="2"/>
            <w:noWrap w:val="0"/>
            <w:vAlign w:val="center"/>
          </w:tcPr>
          <w:p w14:paraId="5BF0BBF8">
            <w:pPr>
              <w:spacing w:line="340" w:lineRule="exact"/>
              <w:jc w:val="left"/>
            </w:pPr>
            <w:r>
              <w:t>1、</w:t>
            </w:r>
            <w:r>
              <w:rPr>
                <w:rFonts w:hint="eastAsia"/>
                <w:lang w:val="en-US" w:eastAsia="zh-CN"/>
              </w:rPr>
              <w:t>评标委员会对投标人的资格审查文件（电子版）进行评审。评审合格的进入下一阶段评标</w:t>
            </w:r>
            <w:r>
              <w:t>；</w:t>
            </w:r>
            <w:r>
              <w:rPr>
                <w:rFonts w:hint="eastAsia"/>
              </w:rPr>
              <w:t>评标</w:t>
            </w:r>
            <w:r>
              <w:t>不合格的</w:t>
            </w:r>
            <w:r>
              <w:rPr>
                <w:rFonts w:hint="eastAsia"/>
              </w:rPr>
              <w:t>取消其招标资格</w:t>
            </w:r>
            <w:r>
              <w:t>，</w:t>
            </w:r>
            <w:r>
              <w:rPr>
                <w:rFonts w:hint="eastAsia"/>
              </w:rPr>
              <w:t>购买招标文件的费用</w:t>
            </w:r>
            <w:r>
              <w:t>不退。</w:t>
            </w:r>
          </w:p>
          <w:p w14:paraId="638EC205">
            <w:pPr>
              <w:spacing w:line="340" w:lineRule="exact"/>
              <w:ind w:left="-120" w:leftChars="-50" w:right="-120" w:rightChars="-50"/>
              <w:jc w:val="left"/>
            </w:pPr>
            <w:r>
              <w:t>2、</w:t>
            </w:r>
            <w:r>
              <w:rPr>
                <w:rFonts w:hint="eastAsia"/>
                <w:lang w:val="en-US" w:eastAsia="zh-CN"/>
              </w:rPr>
              <w:t>制作资格审查文件（电子版）后，在</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w:t>
            </w:r>
            <w:r>
              <w:rPr>
                <w:rFonts w:hint="eastAsia"/>
                <w:highlight w:val="none"/>
              </w:rPr>
              <w:t>日</w:t>
            </w:r>
            <w:r>
              <w:rPr>
                <w:rFonts w:hint="eastAsia"/>
                <w:highlight w:val="none"/>
                <w:lang w:val="en-US" w:eastAsia="zh-CN"/>
              </w:rPr>
              <w:t>9</w:t>
            </w:r>
            <w:r>
              <w:rPr>
                <w:rFonts w:hint="eastAsia"/>
                <w:highlight w:val="none"/>
              </w:rPr>
              <w:t>点</w:t>
            </w:r>
            <w:r>
              <w:rPr>
                <w:rFonts w:hint="eastAsia"/>
                <w:highlight w:val="none"/>
                <w:lang w:val="en-US" w:eastAsia="zh-CN"/>
              </w:rPr>
              <w:t>前</w:t>
            </w:r>
            <w:r>
              <w:rPr>
                <w:rFonts w:hint="eastAsia"/>
                <w:lang w:eastAsia="zh-CN"/>
              </w:rPr>
              <w:t>，</w:t>
            </w:r>
            <w:r>
              <w:rPr>
                <w:rFonts w:hint="eastAsia"/>
                <w:lang w:val="en-US" w:eastAsia="zh-CN"/>
              </w:rPr>
              <w:t>上传报名网站</w:t>
            </w:r>
          </w:p>
        </w:tc>
      </w:tr>
      <w:tr w14:paraId="021E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07303E6">
            <w:pPr>
              <w:jc w:val="center"/>
              <w:rPr>
                <w:rFonts w:hint="eastAsia"/>
              </w:rPr>
            </w:pPr>
            <w:r>
              <w:rPr>
                <w:rFonts w:hint="eastAsia"/>
              </w:rPr>
              <w:t>3.5.2</w:t>
            </w:r>
          </w:p>
        </w:tc>
        <w:tc>
          <w:tcPr>
            <w:tcW w:w="1660" w:type="dxa"/>
            <w:noWrap w:val="0"/>
            <w:vAlign w:val="center"/>
          </w:tcPr>
          <w:p w14:paraId="79CB1452">
            <w:pPr>
              <w:spacing w:line="360" w:lineRule="exact"/>
              <w:jc w:val="center"/>
            </w:pPr>
            <w:r>
              <w:rPr>
                <w:rFonts w:hint="eastAsia"/>
              </w:rPr>
              <w:t>近3年财务审计报告</w:t>
            </w:r>
          </w:p>
        </w:tc>
        <w:tc>
          <w:tcPr>
            <w:tcW w:w="7151" w:type="dxa"/>
            <w:gridSpan w:val="2"/>
            <w:noWrap w:val="0"/>
            <w:vAlign w:val="center"/>
          </w:tcPr>
          <w:p w14:paraId="36D98154">
            <w:pPr>
              <w:spacing w:line="340" w:lineRule="exact"/>
            </w:pPr>
            <w:r>
              <w:rPr>
                <w:rFonts w:hint="eastAsia"/>
              </w:rPr>
              <w:t>20</w:t>
            </w:r>
            <w:r>
              <w:rPr>
                <w:rFonts w:hint="eastAsia"/>
                <w:lang w:val="en-US" w:eastAsia="zh-CN"/>
              </w:rPr>
              <w:t>23</w:t>
            </w:r>
            <w:r>
              <w:rPr>
                <w:rFonts w:hint="eastAsia"/>
              </w:rPr>
              <w:t>年</w:t>
            </w:r>
            <w:r>
              <w:rPr>
                <w:rFonts w:hint="eastAsia"/>
                <w:lang w:val="en-US" w:eastAsia="zh-CN"/>
              </w:rPr>
              <w:t>6</w:t>
            </w:r>
            <w:r>
              <w:rPr>
                <w:rFonts w:hint="eastAsia"/>
              </w:rPr>
              <w:t>月01日至今。</w:t>
            </w:r>
          </w:p>
        </w:tc>
      </w:tr>
      <w:tr w14:paraId="6D71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E9670CC">
            <w:pPr>
              <w:jc w:val="center"/>
              <w:rPr>
                <w:rFonts w:hint="eastAsia"/>
              </w:rPr>
            </w:pPr>
            <w:r>
              <w:rPr>
                <w:rFonts w:hint="eastAsia"/>
              </w:rPr>
              <w:t>3.5.3</w:t>
            </w:r>
          </w:p>
        </w:tc>
        <w:tc>
          <w:tcPr>
            <w:tcW w:w="1660" w:type="dxa"/>
            <w:noWrap w:val="0"/>
            <w:vAlign w:val="center"/>
          </w:tcPr>
          <w:p w14:paraId="37A74AF7">
            <w:pPr>
              <w:spacing w:line="360" w:lineRule="exact"/>
              <w:jc w:val="center"/>
            </w:pPr>
            <w:r>
              <w:rPr>
                <w:rFonts w:hint="eastAsia"/>
              </w:rPr>
              <w:t>近3年完成的类似项目</w:t>
            </w:r>
          </w:p>
        </w:tc>
        <w:tc>
          <w:tcPr>
            <w:tcW w:w="7151" w:type="dxa"/>
            <w:gridSpan w:val="2"/>
            <w:noWrap w:val="0"/>
            <w:vAlign w:val="center"/>
          </w:tcPr>
          <w:p w14:paraId="561E2AA4">
            <w:pPr>
              <w:spacing w:line="340" w:lineRule="exact"/>
            </w:pPr>
            <w:r>
              <w:rPr>
                <w:rFonts w:hint="eastAsia"/>
              </w:rPr>
              <w:t>20</w:t>
            </w:r>
            <w:r>
              <w:rPr>
                <w:rFonts w:hint="eastAsia"/>
                <w:lang w:val="en-US" w:eastAsia="zh-CN"/>
              </w:rPr>
              <w:t>23</w:t>
            </w:r>
            <w:r>
              <w:rPr>
                <w:rFonts w:hint="eastAsia"/>
              </w:rPr>
              <w:t>年</w:t>
            </w:r>
            <w:r>
              <w:rPr>
                <w:rFonts w:hint="eastAsia"/>
                <w:lang w:val="en-US" w:eastAsia="zh-CN"/>
              </w:rPr>
              <w:t>6</w:t>
            </w:r>
            <w:r>
              <w:rPr>
                <w:rFonts w:hint="eastAsia"/>
              </w:rPr>
              <w:t>月01日至今。</w:t>
            </w:r>
          </w:p>
        </w:tc>
      </w:tr>
      <w:tr w14:paraId="510D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CEC25AC">
            <w:pPr>
              <w:jc w:val="center"/>
              <w:rPr>
                <w:rFonts w:hint="eastAsia"/>
              </w:rPr>
            </w:pPr>
            <w:r>
              <w:rPr>
                <w:rFonts w:hint="eastAsia"/>
              </w:rPr>
              <w:t>3.5.4</w:t>
            </w:r>
          </w:p>
        </w:tc>
        <w:tc>
          <w:tcPr>
            <w:tcW w:w="1660" w:type="dxa"/>
            <w:noWrap w:val="0"/>
            <w:vAlign w:val="center"/>
          </w:tcPr>
          <w:p w14:paraId="38D453C7">
            <w:pPr>
              <w:spacing w:line="360" w:lineRule="exact"/>
              <w:jc w:val="center"/>
            </w:pPr>
            <w:r>
              <w:rPr>
                <w:rFonts w:hint="eastAsia"/>
              </w:rPr>
              <w:t>近3年发生的诉讼及仲裁情况的年份要求</w:t>
            </w:r>
          </w:p>
        </w:tc>
        <w:tc>
          <w:tcPr>
            <w:tcW w:w="7151" w:type="dxa"/>
            <w:gridSpan w:val="2"/>
            <w:noWrap w:val="0"/>
            <w:vAlign w:val="center"/>
          </w:tcPr>
          <w:p w14:paraId="23510B65">
            <w:pPr>
              <w:spacing w:line="340" w:lineRule="exact"/>
            </w:pPr>
            <w:r>
              <w:rPr>
                <w:rFonts w:hint="eastAsia"/>
              </w:rPr>
              <w:t>20</w:t>
            </w:r>
            <w:r>
              <w:rPr>
                <w:rFonts w:hint="eastAsia"/>
                <w:lang w:val="en-US" w:eastAsia="zh-CN"/>
              </w:rPr>
              <w:t>23</w:t>
            </w:r>
            <w:r>
              <w:rPr>
                <w:rFonts w:hint="eastAsia"/>
              </w:rPr>
              <w:t>年</w:t>
            </w:r>
            <w:r>
              <w:rPr>
                <w:rFonts w:hint="eastAsia"/>
                <w:lang w:val="en-US" w:eastAsia="zh-CN"/>
              </w:rPr>
              <w:t>6</w:t>
            </w:r>
            <w:r>
              <w:rPr>
                <w:rFonts w:hint="eastAsia"/>
              </w:rPr>
              <w:t>月01日至今。</w:t>
            </w:r>
          </w:p>
        </w:tc>
      </w:tr>
      <w:tr w14:paraId="120C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0FBC92BA">
            <w:pPr>
              <w:jc w:val="center"/>
            </w:pPr>
            <w:r>
              <w:rPr>
                <w:rFonts w:hint="eastAsia"/>
              </w:rPr>
              <w:t>3.7.1</w:t>
            </w:r>
          </w:p>
        </w:tc>
        <w:tc>
          <w:tcPr>
            <w:tcW w:w="1660" w:type="dxa"/>
            <w:noWrap w:val="0"/>
            <w:vAlign w:val="center"/>
          </w:tcPr>
          <w:p w14:paraId="7D7ACA93">
            <w:pPr>
              <w:spacing w:line="360" w:lineRule="exact"/>
              <w:jc w:val="center"/>
            </w:pPr>
            <w:r>
              <w:rPr>
                <w:rFonts w:hint="eastAsia"/>
              </w:rPr>
              <w:t>签字或盖章要求</w:t>
            </w:r>
          </w:p>
        </w:tc>
        <w:tc>
          <w:tcPr>
            <w:tcW w:w="7151" w:type="dxa"/>
            <w:gridSpan w:val="2"/>
            <w:noWrap w:val="0"/>
            <w:vAlign w:val="center"/>
          </w:tcPr>
          <w:p w14:paraId="007568DF">
            <w:pPr>
              <w:spacing w:line="340" w:lineRule="exact"/>
            </w:pPr>
            <w:r>
              <w:rPr>
                <w:rFonts w:hint="eastAsia"/>
              </w:rPr>
              <w:t>投标文件应按第五章“投标文件格式及内容”要求进行签字或盖章，否则其投标文件按照无效处理。</w:t>
            </w:r>
          </w:p>
        </w:tc>
      </w:tr>
      <w:tr w14:paraId="30BD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2EE70942">
            <w:pPr>
              <w:jc w:val="center"/>
            </w:pPr>
            <w:r>
              <w:rPr>
                <w:rFonts w:hint="eastAsia"/>
              </w:rPr>
              <w:t>3.7.2</w:t>
            </w:r>
          </w:p>
        </w:tc>
        <w:tc>
          <w:tcPr>
            <w:tcW w:w="1660" w:type="dxa"/>
            <w:noWrap w:val="0"/>
            <w:vAlign w:val="center"/>
          </w:tcPr>
          <w:p w14:paraId="23E7EE97">
            <w:pPr>
              <w:spacing w:line="360" w:lineRule="exact"/>
              <w:jc w:val="center"/>
            </w:pPr>
            <w:r>
              <w:rPr>
                <w:rFonts w:hint="eastAsia"/>
                <w:highlight w:val="none"/>
              </w:rPr>
              <w:t>投标文件份数</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1D684D41">
            <w:pPr>
              <w:spacing w:line="340" w:lineRule="exact"/>
              <w:rPr>
                <w:b/>
              </w:rPr>
            </w:pPr>
            <w:r>
              <w:rPr>
                <w:rFonts w:hint="eastAsia"/>
              </w:rPr>
              <w:t>中标人提供</w:t>
            </w:r>
            <w:r>
              <w:rPr>
                <w:rFonts w:hint="eastAsia"/>
                <w:lang w:val="en-US" w:eastAsia="zh-CN"/>
              </w:rPr>
              <w:t>纸质投标文件</w:t>
            </w:r>
            <w:r>
              <w:rPr>
                <w:rFonts w:hint="eastAsia"/>
              </w:rPr>
              <w:t>正本</w:t>
            </w:r>
            <w:r>
              <w:rPr>
                <w:rFonts w:hint="eastAsia"/>
                <w:lang w:eastAsia="zh-CN"/>
              </w:rPr>
              <w:t>、</w:t>
            </w:r>
            <w:r>
              <w:rPr>
                <w:rFonts w:hint="eastAsia"/>
              </w:rPr>
              <w:t>副本</w:t>
            </w:r>
            <w:r>
              <w:rPr>
                <w:rFonts w:hint="eastAsia"/>
                <w:lang w:val="en-US" w:eastAsia="zh-CN"/>
              </w:rPr>
              <w:t>各一</w:t>
            </w:r>
            <w:r>
              <w:rPr>
                <w:rFonts w:hint="eastAsia"/>
              </w:rPr>
              <w:t>份。</w:t>
            </w:r>
          </w:p>
        </w:tc>
      </w:tr>
      <w:tr w14:paraId="77B7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0FA8A3EC">
            <w:pPr>
              <w:jc w:val="center"/>
            </w:pPr>
            <w:r>
              <w:rPr>
                <w:rFonts w:hint="eastAsia"/>
              </w:rPr>
              <w:t>3.7.3</w:t>
            </w:r>
          </w:p>
        </w:tc>
        <w:tc>
          <w:tcPr>
            <w:tcW w:w="1660" w:type="dxa"/>
            <w:noWrap w:val="0"/>
            <w:vAlign w:val="center"/>
          </w:tcPr>
          <w:p w14:paraId="35ED27E8">
            <w:pPr>
              <w:spacing w:line="360" w:lineRule="exact"/>
              <w:ind w:left="120" w:leftChars="-50" w:right="-120" w:rightChars="-50" w:hanging="240" w:hangingChars="100"/>
              <w:jc w:val="center"/>
            </w:pPr>
            <w:r>
              <w:rPr>
                <w:rFonts w:hint="eastAsia"/>
                <w:highlight w:val="none"/>
              </w:rPr>
              <w:t>纸质投标文件装订要求</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56317546">
            <w:pPr>
              <w:spacing w:line="340" w:lineRule="exact"/>
              <w:jc w:val="left"/>
              <w:rPr>
                <w:highlight w:val="none"/>
              </w:rPr>
            </w:pPr>
            <w:r>
              <w:rPr>
                <w:rFonts w:hint="eastAsia"/>
                <w:highlight w:val="none"/>
              </w:rPr>
              <w:t>1、投标文件的正本与副本应分别装订成册。</w:t>
            </w:r>
          </w:p>
          <w:p w14:paraId="7A5A65D9">
            <w:pPr>
              <w:spacing w:line="340" w:lineRule="exact"/>
              <w:jc w:val="left"/>
              <w:rPr>
                <w:highlight w:val="none"/>
              </w:rPr>
            </w:pPr>
            <w:r>
              <w:rPr>
                <w:rFonts w:hint="eastAsia"/>
                <w:highlight w:val="none"/>
              </w:rPr>
              <w:t>2、投标文件每册均须采用胶装方式在左侧装订，装订须牢固不易拆散和换页，不得采用活页方式装订。</w:t>
            </w:r>
          </w:p>
          <w:p w14:paraId="5C76D56E">
            <w:pPr>
              <w:spacing w:line="340" w:lineRule="exact"/>
              <w:rPr>
                <w:rFonts w:hint="eastAsia"/>
                <w:highlight w:val="none"/>
              </w:rPr>
            </w:pPr>
            <w:r>
              <w:rPr>
                <w:rFonts w:hint="eastAsia"/>
                <w:highlight w:val="none"/>
              </w:rPr>
              <w:t>3、投标文件正本和副本的封面上应清楚地标记“正本”或“副本”的字样；正本和副本如有不一致之处，以正本为准。</w:t>
            </w:r>
          </w:p>
          <w:p w14:paraId="69F5448B">
            <w:pPr>
              <w:pStyle w:val="45"/>
              <w:ind w:left="0" w:leftChars="0" w:right="-120" w:rightChars="-50" w:firstLine="0" w:firstLineChars="0"/>
              <w:rPr>
                <w:rFonts w:hint="default"/>
                <w:lang w:val="en-US"/>
              </w:rPr>
            </w:pPr>
            <w:r>
              <w:rPr>
                <w:rFonts w:hint="eastAsia"/>
                <w:bCs/>
                <w:highlight w:val="none"/>
                <w:lang w:val="en-US" w:eastAsia="zh-CN"/>
              </w:rPr>
              <w:t>4、投标单位</w:t>
            </w:r>
            <w:r>
              <w:rPr>
                <w:rFonts w:hint="eastAsia"/>
                <w:highlight w:val="none"/>
                <w:lang w:val="en-US" w:eastAsia="zh-CN"/>
              </w:rPr>
              <w:t>收到中标通知书后3日内，</w:t>
            </w:r>
            <w:r>
              <w:rPr>
                <w:rFonts w:hint="eastAsia"/>
                <w:bCs/>
                <w:highlight w:val="none"/>
                <w:lang w:val="en-US" w:eastAsia="zh-CN"/>
              </w:rPr>
              <w:t>需将</w:t>
            </w:r>
            <w:r>
              <w:rPr>
                <w:rFonts w:hint="eastAsia"/>
                <w:highlight w:val="none"/>
              </w:rPr>
              <w:t>纸质投标文件</w:t>
            </w:r>
            <w:r>
              <w:rPr>
                <w:rFonts w:hint="eastAsia"/>
                <w:highlight w:val="none"/>
                <w:lang w:val="en-US" w:eastAsia="zh-CN"/>
              </w:rPr>
              <w:t>邮寄到山东省济南市官庄街道青野村东，山东济钢环保新材料有限公司，收件人：于工，收件人手机号：17860611790</w:t>
            </w:r>
          </w:p>
        </w:tc>
      </w:tr>
      <w:tr w14:paraId="4ACA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6FA0949">
            <w:pPr>
              <w:jc w:val="center"/>
            </w:pPr>
            <w:r>
              <w:rPr>
                <w:rFonts w:hint="eastAsia"/>
              </w:rPr>
              <w:t>3.7.4</w:t>
            </w:r>
          </w:p>
        </w:tc>
        <w:tc>
          <w:tcPr>
            <w:tcW w:w="1660" w:type="dxa"/>
            <w:noWrap w:val="0"/>
            <w:vAlign w:val="center"/>
          </w:tcPr>
          <w:p w14:paraId="0D3FA70D">
            <w:pPr>
              <w:spacing w:line="360" w:lineRule="exact"/>
              <w:ind w:left="240" w:hanging="240" w:hangingChars="100"/>
              <w:jc w:val="center"/>
            </w:pPr>
            <w:r>
              <w:rPr>
                <w:rFonts w:hint="eastAsia"/>
              </w:rPr>
              <w:t>电子文档</w:t>
            </w:r>
          </w:p>
        </w:tc>
        <w:tc>
          <w:tcPr>
            <w:tcW w:w="7151" w:type="dxa"/>
            <w:gridSpan w:val="2"/>
            <w:noWrap w:val="0"/>
            <w:vAlign w:val="center"/>
          </w:tcPr>
          <w:p w14:paraId="1D094D8B">
            <w:pPr>
              <w:spacing w:line="340" w:lineRule="exact"/>
              <w:rPr>
                <w:bCs/>
              </w:rPr>
            </w:pPr>
            <w:r>
              <w:rPr>
                <w:rFonts w:hint="eastAsia"/>
                <w:bCs/>
              </w:rPr>
              <w:t>详见招标须知正文3.7.6条款</w:t>
            </w:r>
          </w:p>
        </w:tc>
      </w:tr>
      <w:tr w14:paraId="16EA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56CA3EE0">
            <w:pPr>
              <w:spacing w:line="442" w:lineRule="exact"/>
              <w:jc w:val="center"/>
              <w:rPr>
                <w:rFonts w:ascii="仿宋" w:hAnsi="仿宋" w:eastAsia="仿宋" w:cs="MingLiU"/>
              </w:rPr>
            </w:pPr>
            <w:r>
              <w:rPr>
                <w:rFonts w:ascii="仿宋" w:hAnsi="仿宋" w:eastAsia="仿宋" w:cs="MingLiU"/>
              </w:rPr>
              <w:t>4.2.1</w:t>
            </w:r>
          </w:p>
        </w:tc>
        <w:tc>
          <w:tcPr>
            <w:tcW w:w="1660" w:type="dxa"/>
            <w:noWrap w:val="0"/>
            <w:vAlign w:val="center"/>
          </w:tcPr>
          <w:p w14:paraId="04641D12">
            <w:pPr>
              <w:spacing w:line="360" w:lineRule="exact"/>
              <w:ind w:left="240" w:hanging="240" w:hangingChars="100"/>
            </w:pPr>
            <w:r>
              <w:t>递交</w:t>
            </w:r>
            <w:r>
              <w:rPr>
                <w:rFonts w:hint="eastAsia"/>
              </w:rPr>
              <w:t>投标</w:t>
            </w:r>
            <w:r>
              <w:t>文件截止时间</w:t>
            </w:r>
          </w:p>
        </w:tc>
        <w:tc>
          <w:tcPr>
            <w:tcW w:w="7151" w:type="dxa"/>
            <w:gridSpan w:val="2"/>
            <w:noWrap w:val="0"/>
            <w:vAlign w:val="center"/>
          </w:tcPr>
          <w:p w14:paraId="1F659BE6">
            <w:pPr>
              <w:spacing w:line="360" w:lineRule="exact"/>
              <w:ind w:left="240" w:hanging="240" w:hangingChars="100"/>
              <w:rPr>
                <w:highlight w:val="none"/>
              </w:rPr>
            </w:pP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w:t>
            </w:r>
            <w:r>
              <w:rPr>
                <w:rFonts w:hint="eastAsia"/>
                <w:highlight w:val="none"/>
              </w:rPr>
              <w:t>日</w:t>
            </w:r>
            <w:r>
              <w:rPr>
                <w:rFonts w:hint="eastAsia"/>
                <w:color w:val="000000"/>
                <w:highlight w:val="none"/>
                <w:lang w:val="en-US" w:eastAsia="zh-CN"/>
              </w:rPr>
              <w:t>9</w:t>
            </w:r>
            <w:r>
              <w:rPr>
                <w:rFonts w:hint="eastAsia"/>
                <w:color w:val="000000"/>
                <w:highlight w:val="none"/>
              </w:rPr>
              <w:t>时00分</w:t>
            </w:r>
          </w:p>
        </w:tc>
      </w:tr>
      <w:tr w14:paraId="4DE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5025F14C">
            <w:pPr>
              <w:spacing w:line="442" w:lineRule="exact"/>
              <w:jc w:val="center"/>
              <w:rPr>
                <w:rFonts w:ascii="仿宋" w:hAnsi="仿宋" w:eastAsia="仿宋" w:cs="MingLiU"/>
              </w:rPr>
            </w:pPr>
            <w:r>
              <w:rPr>
                <w:rFonts w:ascii="仿宋" w:hAnsi="仿宋" w:eastAsia="仿宋" w:cs="MingLiU"/>
              </w:rPr>
              <w:t xml:space="preserve">4.2.2 </w:t>
            </w:r>
          </w:p>
        </w:tc>
        <w:tc>
          <w:tcPr>
            <w:tcW w:w="1660" w:type="dxa"/>
            <w:noWrap w:val="0"/>
            <w:vAlign w:val="center"/>
          </w:tcPr>
          <w:p w14:paraId="4081CFFA">
            <w:pPr>
              <w:spacing w:line="360" w:lineRule="exact"/>
              <w:ind w:left="240" w:hanging="240" w:hangingChars="100"/>
              <w:jc w:val="center"/>
            </w:pPr>
            <w:r>
              <w:t>递交</w:t>
            </w:r>
            <w:r>
              <w:rPr>
                <w:rFonts w:hint="eastAsia"/>
              </w:rPr>
              <w:t>投标</w:t>
            </w:r>
            <w:r>
              <w:t>文件地点</w:t>
            </w:r>
          </w:p>
        </w:tc>
        <w:tc>
          <w:tcPr>
            <w:tcW w:w="7151" w:type="dxa"/>
            <w:gridSpan w:val="2"/>
            <w:noWrap w:val="0"/>
            <w:vAlign w:val="center"/>
          </w:tcPr>
          <w:p w14:paraId="2D1EF3E4">
            <w:pPr>
              <w:spacing w:line="360" w:lineRule="exact"/>
              <w:ind w:left="240" w:hanging="240" w:hangingChars="100"/>
            </w:pPr>
            <w:r>
              <w:rPr>
                <w:rFonts w:hint="eastAsia"/>
                <w:highlight w:val="none"/>
              </w:rPr>
              <w:t>上传至济钢集团有限公司阳光购销平台（网址：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w:t>
            </w:r>
          </w:p>
        </w:tc>
      </w:tr>
      <w:tr w14:paraId="6BF5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400D57A">
            <w:pPr>
              <w:jc w:val="center"/>
              <w:rPr>
                <w:color w:val="000000"/>
              </w:rPr>
            </w:pPr>
            <w:r>
              <w:rPr>
                <w:rFonts w:hint="eastAsia"/>
                <w:color w:val="000000"/>
              </w:rPr>
              <w:t>4.2.3</w:t>
            </w:r>
          </w:p>
        </w:tc>
        <w:tc>
          <w:tcPr>
            <w:tcW w:w="1660" w:type="dxa"/>
            <w:noWrap w:val="0"/>
            <w:vAlign w:val="center"/>
          </w:tcPr>
          <w:p w14:paraId="48D08FA9">
            <w:pPr>
              <w:spacing w:line="360" w:lineRule="exact"/>
              <w:ind w:left="240" w:hanging="240" w:hangingChars="100"/>
              <w:jc w:val="center"/>
            </w:pPr>
            <w:r>
              <w:rPr>
                <w:rFonts w:hint="eastAsia"/>
              </w:rPr>
              <w:t>投标</w:t>
            </w:r>
            <w:r>
              <w:t>文件是否退还</w:t>
            </w:r>
          </w:p>
        </w:tc>
        <w:tc>
          <w:tcPr>
            <w:tcW w:w="7151" w:type="dxa"/>
            <w:gridSpan w:val="2"/>
            <w:noWrap w:val="0"/>
            <w:vAlign w:val="center"/>
          </w:tcPr>
          <w:p w14:paraId="0A469838">
            <w:pPr>
              <w:spacing w:line="340" w:lineRule="exact"/>
              <w:ind w:left="240" w:hanging="240" w:hangingChars="100"/>
            </w:pPr>
            <w:r>
              <w:rPr>
                <w:rFonts w:hint="eastAsia"/>
              </w:rPr>
              <w:t>否</w:t>
            </w:r>
          </w:p>
        </w:tc>
      </w:tr>
      <w:tr w14:paraId="0647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35189506">
            <w:pPr>
              <w:jc w:val="center"/>
              <w:rPr>
                <w:color w:val="000000"/>
              </w:rPr>
            </w:pPr>
            <w:r>
              <w:rPr>
                <w:rFonts w:hint="eastAsia"/>
                <w:color w:val="000000"/>
              </w:rPr>
              <w:t>5.1.1</w:t>
            </w:r>
          </w:p>
        </w:tc>
        <w:tc>
          <w:tcPr>
            <w:tcW w:w="1660" w:type="dxa"/>
            <w:noWrap w:val="0"/>
            <w:vAlign w:val="center"/>
          </w:tcPr>
          <w:p w14:paraId="745F2627">
            <w:pPr>
              <w:spacing w:line="360" w:lineRule="exact"/>
              <w:jc w:val="center"/>
              <w:rPr>
                <w:rFonts w:hint="eastAsia"/>
                <w:color w:val="000000"/>
              </w:rPr>
            </w:pPr>
            <w:r>
              <w:rPr>
                <w:rFonts w:hint="eastAsia"/>
                <w:color w:val="000000"/>
              </w:rPr>
              <w:t>开标时间和</w:t>
            </w:r>
          </w:p>
          <w:p w14:paraId="0F374084">
            <w:pPr>
              <w:spacing w:line="360" w:lineRule="exact"/>
              <w:jc w:val="center"/>
              <w:rPr>
                <w:rFonts w:hint="eastAsia"/>
                <w:color w:val="000000"/>
              </w:rPr>
            </w:pPr>
            <w:r>
              <w:rPr>
                <w:rFonts w:hint="eastAsia"/>
                <w:color w:val="000000"/>
              </w:rPr>
              <w:t>方式</w:t>
            </w:r>
          </w:p>
        </w:tc>
        <w:tc>
          <w:tcPr>
            <w:tcW w:w="7151" w:type="dxa"/>
            <w:gridSpan w:val="2"/>
            <w:noWrap w:val="0"/>
            <w:vAlign w:val="center"/>
          </w:tcPr>
          <w:p w14:paraId="610385B2">
            <w:pPr>
              <w:spacing w:line="340" w:lineRule="exact"/>
              <w:rPr>
                <w:color w:val="000000"/>
                <w:highlight w:val="none"/>
              </w:rPr>
            </w:pPr>
            <w:r>
              <w:rPr>
                <w:rFonts w:hint="eastAsia"/>
                <w:color w:val="000000"/>
                <w:highlight w:val="none"/>
              </w:rPr>
              <w:t>开标时间：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w:t>
            </w:r>
            <w:r>
              <w:rPr>
                <w:rFonts w:hint="eastAsia"/>
                <w:highlight w:val="none"/>
              </w:rPr>
              <w:t>日</w:t>
            </w:r>
            <w:r>
              <w:rPr>
                <w:rFonts w:hint="eastAsia"/>
                <w:color w:val="000000"/>
                <w:highlight w:val="none"/>
                <w:lang w:val="en-US" w:eastAsia="zh-CN"/>
              </w:rPr>
              <w:t>9</w:t>
            </w:r>
            <w:bookmarkStart w:id="206" w:name="_GoBack"/>
            <w:bookmarkEnd w:id="206"/>
            <w:r>
              <w:rPr>
                <w:rFonts w:hint="eastAsia"/>
                <w:color w:val="000000"/>
                <w:highlight w:val="none"/>
              </w:rPr>
              <w:t>时00分</w:t>
            </w:r>
          </w:p>
          <w:p w14:paraId="12616CB0">
            <w:pPr>
              <w:spacing w:line="340" w:lineRule="exact"/>
              <w:rPr>
                <w:rFonts w:hint="default" w:eastAsia="宋体"/>
                <w:color w:val="000000"/>
                <w:lang w:val="en-US" w:eastAsia="zh-CN"/>
              </w:rPr>
            </w:pPr>
            <w:r>
              <w:rPr>
                <w:rFonts w:hint="eastAsia"/>
                <w:color w:val="000000"/>
                <w:highlight w:val="none"/>
              </w:rPr>
              <w:t>开标方式：</w:t>
            </w:r>
            <w:r>
              <w:rPr>
                <w:rFonts w:hint="eastAsia"/>
                <w:color w:val="000000"/>
                <w:highlight w:val="none"/>
                <w:lang w:val="en-US" w:eastAsia="zh-CN"/>
              </w:rPr>
              <w:t>网上开标</w:t>
            </w:r>
          </w:p>
        </w:tc>
      </w:tr>
      <w:tr w14:paraId="1AD3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065DA77">
            <w:pPr>
              <w:jc w:val="center"/>
            </w:pPr>
            <w:r>
              <w:rPr>
                <w:rFonts w:hint="eastAsia"/>
              </w:rPr>
              <w:t>6.3</w:t>
            </w:r>
          </w:p>
        </w:tc>
        <w:tc>
          <w:tcPr>
            <w:tcW w:w="1660" w:type="dxa"/>
            <w:noWrap w:val="0"/>
            <w:vAlign w:val="center"/>
          </w:tcPr>
          <w:p w14:paraId="35248951">
            <w:pPr>
              <w:spacing w:line="360" w:lineRule="exact"/>
              <w:jc w:val="center"/>
            </w:pPr>
            <w:r>
              <w:rPr>
                <w:rFonts w:hint="eastAsia"/>
              </w:rPr>
              <w:t>评标方法</w:t>
            </w:r>
          </w:p>
        </w:tc>
        <w:tc>
          <w:tcPr>
            <w:tcW w:w="7151" w:type="dxa"/>
            <w:gridSpan w:val="2"/>
            <w:noWrap w:val="0"/>
            <w:vAlign w:val="center"/>
          </w:tcPr>
          <w:p w14:paraId="00EE1773">
            <w:pPr>
              <w:spacing w:line="340" w:lineRule="exact"/>
              <w:rPr>
                <w:bCs/>
              </w:rPr>
            </w:pPr>
            <w:r>
              <w:rPr>
                <w:rFonts w:hint="eastAsia"/>
                <w:bCs/>
              </w:rPr>
              <w:t>综合评标法</w:t>
            </w:r>
          </w:p>
        </w:tc>
      </w:tr>
      <w:tr w14:paraId="24C2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560D6A77">
            <w:pPr>
              <w:jc w:val="center"/>
              <w:rPr>
                <w:rFonts w:hint="eastAsia"/>
              </w:rPr>
            </w:pPr>
            <w:r>
              <w:rPr>
                <w:rFonts w:hint="eastAsia"/>
              </w:rPr>
              <w:t>7.5</w:t>
            </w:r>
          </w:p>
        </w:tc>
        <w:tc>
          <w:tcPr>
            <w:tcW w:w="1660" w:type="dxa"/>
            <w:noWrap w:val="0"/>
            <w:vAlign w:val="center"/>
          </w:tcPr>
          <w:p w14:paraId="3F477FA0">
            <w:pPr>
              <w:spacing w:line="360" w:lineRule="exact"/>
              <w:jc w:val="center"/>
            </w:pPr>
            <w:r>
              <w:rPr>
                <w:rFonts w:hint="eastAsia"/>
              </w:rPr>
              <w:t>履约</w:t>
            </w:r>
            <w:r>
              <w:rPr>
                <w:rFonts w:hint="eastAsia"/>
                <w:bCs/>
              </w:rPr>
              <w:t>保证金</w:t>
            </w:r>
          </w:p>
        </w:tc>
        <w:tc>
          <w:tcPr>
            <w:tcW w:w="7151" w:type="dxa"/>
            <w:gridSpan w:val="2"/>
            <w:noWrap w:val="0"/>
            <w:vAlign w:val="center"/>
          </w:tcPr>
          <w:p w14:paraId="4650E7EC">
            <w:pPr>
              <w:spacing w:line="340" w:lineRule="exact"/>
              <w:rPr>
                <w:rFonts w:hint="eastAsia" w:eastAsia="宋体"/>
                <w:color w:val="FF0000"/>
                <w:lang w:eastAsia="zh-CN"/>
              </w:rPr>
            </w:pPr>
            <w:r>
              <w:rPr>
                <w:rFonts w:hint="eastAsia"/>
                <w:bCs/>
                <w:highlight w:val="none"/>
                <w:lang w:val="en-US" w:eastAsia="zh-CN"/>
              </w:rPr>
              <w:t>无</w:t>
            </w:r>
          </w:p>
        </w:tc>
      </w:tr>
      <w:tr w14:paraId="5B3D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614BF945">
            <w:pPr>
              <w:jc w:val="center"/>
            </w:pPr>
            <w:r>
              <w:rPr>
                <w:rFonts w:hint="eastAsia"/>
              </w:rPr>
              <w:t>8.1</w:t>
            </w:r>
          </w:p>
        </w:tc>
        <w:tc>
          <w:tcPr>
            <w:tcW w:w="1660" w:type="dxa"/>
            <w:noWrap w:val="0"/>
            <w:vAlign w:val="center"/>
          </w:tcPr>
          <w:p w14:paraId="2D147EF7">
            <w:pPr>
              <w:spacing w:line="360" w:lineRule="exact"/>
              <w:jc w:val="center"/>
              <w:rPr>
                <w:rFonts w:hint="eastAsia"/>
              </w:rPr>
            </w:pPr>
            <w:r>
              <w:rPr>
                <w:rFonts w:hint="eastAsia"/>
              </w:rPr>
              <w:t>重新招标</w:t>
            </w:r>
          </w:p>
        </w:tc>
        <w:tc>
          <w:tcPr>
            <w:tcW w:w="7138" w:type="dxa"/>
            <w:noWrap w:val="0"/>
            <w:vAlign w:val="center"/>
          </w:tcPr>
          <w:p w14:paraId="46ADFA5B">
            <w:pPr>
              <w:spacing w:line="340" w:lineRule="exact"/>
              <w:rPr>
                <w:rFonts w:hint="eastAsia" w:cs="仿宋"/>
              </w:rPr>
            </w:pPr>
            <w:r>
              <w:rPr>
                <w:rFonts w:hint="eastAsia" w:cs="仿宋"/>
              </w:rPr>
              <w:t>有下列情形之一的，招标人将重新招标</w:t>
            </w:r>
          </w:p>
          <w:p w14:paraId="4C0932F7">
            <w:pPr>
              <w:spacing w:line="340" w:lineRule="exact"/>
              <w:rPr>
                <w:rFonts w:hint="eastAsia" w:cs="仿宋"/>
              </w:rPr>
            </w:pPr>
            <w:r>
              <w:rPr>
                <w:rFonts w:hint="eastAsia" w:cs="仿宋"/>
              </w:rPr>
              <w:t>1.截至到</w:t>
            </w:r>
            <w:r>
              <w:rPr>
                <w:rFonts w:hint="eastAsia"/>
              </w:rPr>
              <w:t>招标开始时间</w:t>
            </w:r>
            <w:r>
              <w:rPr>
                <w:rFonts w:hint="eastAsia" w:cs="仿宋"/>
              </w:rPr>
              <w:t>，提交投标文件的投标人少于3个的；</w:t>
            </w:r>
          </w:p>
          <w:p w14:paraId="091A7778">
            <w:pPr>
              <w:spacing w:line="340" w:lineRule="exact"/>
              <w:rPr>
                <w:rFonts w:cs="仿宋"/>
              </w:rPr>
            </w:pPr>
            <w:r>
              <w:rPr>
                <w:rFonts w:hint="eastAsia" w:cs="仿宋"/>
              </w:rPr>
              <w:t>2.经评审委员会评审，否决部分投标人的投标文件后少于3个，缺乏竞争性的；</w:t>
            </w:r>
          </w:p>
          <w:p w14:paraId="4AA264F4">
            <w:pPr>
              <w:spacing w:line="340" w:lineRule="exact"/>
            </w:pPr>
            <w:r>
              <w:rPr>
                <w:rFonts w:hint="eastAsia" w:cs="仿宋"/>
              </w:rPr>
              <w:t>3.经评标委员会评标否决所有投标文件的。</w:t>
            </w:r>
          </w:p>
        </w:tc>
      </w:tr>
      <w:tr w14:paraId="561F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54041C02">
            <w:pPr>
              <w:jc w:val="center"/>
            </w:pPr>
            <w:r>
              <w:rPr>
                <w:rFonts w:hint="eastAsia"/>
              </w:rPr>
              <w:t>10.1</w:t>
            </w:r>
          </w:p>
        </w:tc>
        <w:tc>
          <w:tcPr>
            <w:tcW w:w="8811" w:type="dxa"/>
            <w:gridSpan w:val="3"/>
            <w:noWrap w:val="0"/>
            <w:vAlign w:val="center"/>
          </w:tcPr>
          <w:p w14:paraId="35BF92DF">
            <w:pPr>
              <w:spacing w:line="340" w:lineRule="exact"/>
              <w:rPr>
                <w:bCs/>
              </w:rPr>
            </w:pPr>
            <w:r>
              <w:rPr>
                <w:rFonts w:hint="eastAsia"/>
                <w:bCs/>
              </w:rPr>
              <w:t>在任何评标环节中，需评标委员会就某项定性的评标结论做出表决的，由评标委员会全体成员按照少数服从多数的原则，以记名投票方式表决。</w:t>
            </w:r>
          </w:p>
        </w:tc>
      </w:tr>
      <w:tr w14:paraId="3C0D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60FAA0B">
            <w:pPr>
              <w:jc w:val="center"/>
            </w:pPr>
            <w:r>
              <w:rPr>
                <w:rFonts w:hint="eastAsia"/>
              </w:rPr>
              <w:t>10.2</w:t>
            </w:r>
          </w:p>
        </w:tc>
        <w:tc>
          <w:tcPr>
            <w:tcW w:w="8811" w:type="dxa"/>
            <w:gridSpan w:val="3"/>
            <w:noWrap w:val="0"/>
            <w:vAlign w:val="center"/>
          </w:tcPr>
          <w:p w14:paraId="7FE6CAA9">
            <w:pPr>
              <w:spacing w:line="340" w:lineRule="exact"/>
            </w:pPr>
            <w:r>
              <w:rPr>
                <w:rFonts w:hint="eastAsia"/>
              </w:rPr>
              <w:t>投标人认为招标文件中有限制、排斥投标人情形的，应当在招标开始时间2日前向招标人书面提出，未在规定时间内提出异议的，视为对招标文件无异议。</w:t>
            </w:r>
          </w:p>
        </w:tc>
      </w:tr>
    </w:tbl>
    <w:p w14:paraId="7491CE21"/>
    <w:p w14:paraId="66160EF7">
      <w:pPr>
        <w:pStyle w:val="45"/>
        <w:ind w:left="480" w:firstLine="480"/>
      </w:pPr>
    </w:p>
    <w:p w14:paraId="0C3D3D85">
      <w:pPr>
        <w:pStyle w:val="57"/>
        <w:spacing w:before="156"/>
        <w:rPr>
          <w:rStyle w:val="96"/>
          <w:b/>
          <w:bCs w:val="0"/>
        </w:rPr>
      </w:pPr>
      <w:bookmarkStart w:id="23" w:name="_Toc269310918"/>
      <w:bookmarkStart w:id="24" w:name="_Toc312072226"/>
      <w:bookmarkStart w:id="25" w:name="_Toc446434287"/>
      <w:r>
        <w:rPr>
          <w:rFonts w:hint="eastAsia"/>
          <w:sz w:val="32"/>
          <w:szCs w:val="32"/>
        </w:rPr>
        <w:br w:type="page"/>
      </w:r>
      <w:r>
        <w:rPr>
          <w:rFonts w:hint="eastAsia"/>
          <w:sz w:val="32"/>
          <w:szCs w:val="32"/>
        </w:rPr>
        <w:t>招标须知</w:t>
      </w:r>
      <w:bookmarkEnd w:id="23"/>
      <w:bookmarkEnd w:id="24"/>
      <w:r>
        <w:rPr>
          <w:rFonts w:hint="eastAsia"/>
          <w:sz w:val="32"/>
          <w:szCs w:val="32"/>
        </w:rPr>
        <w:t>正文部分</w:t>
      </w:r>
      <w:bookmarkEnd w:id="25"/>
    </w:p>
    <w:p w14:paraId="1FD0B02A">
      <w:pPr>
        <w:pStyle w:val="64"/>
        <w:rPr>
          <w:rStyle w:val="96"/>
          <w:b/>
          <w:bCs/>
        </w:rPr>
      </w:pPr>
      <w:bookmarkStart w:id="26" w:name="_Toc506105818"/>
      <w:bookmarkStart w:id="27" w:name="_Toc507936013"/>
      <w:r>
        <w:rPr>
          <w:rStyle w:val="96"/>
          <w:rFonts w:hint="eastAsia"/>
          <w:b/>
          <w:bCs w:val="0"/>
        </w:rPr>
        <w:t>1.总则</w:t>
      </w:r>
      <w:bookmarkEnd w:id="26"/>
      <w:bookmarkEnd w:id="27"/>
    </w:p>
    <w:p w14:paraId="4006B689">
      <w:pPr>
        <w:pStyle w:val="59"/>
      </w:pPr>
      <w:bookmarkStart w:id="28" w:name="_Toc506105819"/>
      <w:bookmarkStart w:id="29" w:name="_Toc507936014"/>
      <w:r>
        <w:rPr>
          <w:rFonts w:hint="eastAsia"/>
        </w:rPr>
        <w:t>1.1 项目概况</w:t>
      </w:r>
      <w:bookmarkEnd w:id="28"/>
      <w:bookmarkEnd w:id="29"/>
    </w:p>
    <w:p w14:paraId="44FCC05B">
      <w:pPr>
        <w:spacing w:line="360" w:lineRule="auto"/>
        <w:ind w:firstLine="480" w:firstLineChars="200"/>
        <w:rPr>
          <w:rFonts w:cs="仿宋"/>
        </w:rPr>
      </w:pPr>
      <w:r>
        <w:rPr>
          <w:rFonts w:hint="eastAsia" w:cs="仿宋"/>
        </w:rPr>
        <w:t>根据《中华人民共和国招标投标法》、《中华人民共和国招标投标法实施条例》等有关法律、法规和规章的规定，本项目已具备公开招标条件。</w:t>
      </w:r>
    </w:p>
    <w:p w14:paraId="7083BF01">
      <w:pPr>
        <w:pStyle w:val="61"/>
        <w:keepNext w:val="0"/>
        <w:keepLines w:val="0"/>
        <w:spacing w:before="0" w:line="360" w:lineRule="auto"/>
        <w:ind w:firstLine="480" w:firstLineChars="200"/>
        <w:rPr>
          <w:szCs w:val="28"/>
        </w:rPr>
      </w:pPr>
      <w:r>
        <w:rPr>
          <w:rFonts w:hint="eastAsia" w:ascii="宋体" w:hAnsi="宋体" w:cs="仿宋"/>
          <w:sz w:val="24"/>
        </w:rPr>
        <w:t xml:space="preserve">1.1.1 </w:t>
      </w:r>
      <w:r>
        <w:rPr>
          <w:rFonts w:hint="eastAsia" w:ascii="宋体" w:hAnsi="宋体" w:eastAsia="宋体" w:cs="仿宋"/>
          <w:kern w:val="2"/>
          <w:sz w:val="24"/>
          <w:szCs w:val="24"/>
        </w:rPr>
        <w:t>招标人：</w:t>
      </w:r>
      <w:r>
        <w:rPr>
          <w:rFonts w:hint="eastAsia" w:ascii="宋体" w:hAnsi="宋体" w:eastAsia="宋体" w:cs="仿宋"/>
          <w:sz w:val="24"/>
          <w:szCs w:val="24"/>
        </w:rPr>
        <w:t>详见投标人须知前附表</w:t>
      </w:r>
    </w:p>
    <w:p w14:paraId="2AC60FBF">
      <w:pPr>
        <w:spacing w:line="360" w:lineRule="auto"/>
        <w:ind w:firstLine="480" w:firstLineChars="200"/>
        <w:rPr>
          <w:rFonts w:hint="eastAsia" w:cs="仿宋"/>
        </w:rPr>
      </w:pPr>
      <w:r>
        <w:rPr>
          <w:rFonts w:hint="eastAsia" w:cs="仿宋"/>
        </w:rPr>
        <w:t>1.1.2 招标项目名称：详见投标人须知前附表</w:t>
      </w:r>
    </w:p>
    <w:p w14:paraId="017DFD12">
      <w:pPr>
        <w:spacing w:line="360" w:lineRule="auto"/>
        <w:ind w:firstLine="480" w:firstLineChars="200"/>
        <w:rPr>
          <w:rFonts w:cs="仿宋"/>
        </w:rPr>
      </w:pPr>
      <w:r>
        <w:rPr>
          <w:rFonts w:hint="eastAsia" w:cs="仿宋"/>
        </w:rPr>
        <w:t>1.1.3项目概况: 详见投标人须知前附表</w:t>
      </w:r>
    </w:p>
    <w:p w14:paraId="71A5F3C7">
      <w:pPr>
        <w:spacing w:line="360" w:lineRule="auto"/>
        <w:ind w:firstLine="480" w:firstLineChars="200"/>
        <w:rPr>
          <w:rFonts w:cs="仿宋"/>
        </w:rPr>
      </w:pPr>
      <w:r>
        <w:rPr>
          <w:rFonts w:hint="eastAsia" w:cs="仿宋"/>
        </w:rPr>
        <w:t>1.1.4 项目地点：详见投标人须知前附表</w:t>
      </w:r>
    </w:p>
    <w:p w14:paraId="34154DE1">
      <w:pPr>
        <w:pStyle w:val="59"/>
      </w:pPr>
      <w:bookmarkStart w:id="30" w:name="_Toc25497"/>
      <w:bookmarkStart w:id="31" w:name="_Toc506105820"/>
      <w:bookmarkStart w:id="32" w:name="_Toc247527555"/>
      <w:bookmarkStart w:id="33" w:name="_Toc300834951"/>
      <w:bookmarkStart w:id="34" w:name="_Toc27657"/>
      <w:bookmarkStart w:id="35" w:name="_Toc247513954"/>
      <w:bookmarkStart w:id="36" w:name="_Toc328559028"/>
      <w:bookmarkStart w:id="37" w:name="_Toc507936015"/>
      <w:r>
        <w:rPr>
          <w:rFonts w:hint="eastAsia"/>
        </w:rPr>
        <w:t>1.2 项目资金来源</w:t>
      </w:r>
      <w:bookmarkEnd w:id="30"/>
      <w:bookmarkEnd w:id="31"/>
      <w:bookmarkEnd w:id="32"/>
      <w:bookmarkEnd w:id="33"/>
      <w:bookmarkEnd w:id="34"/>
      <w:bookmarkEnd w:id="35"/>
      <w:bookmarkEnd w:id="36"/>
      <w:r>
        <w:rPr>
          <w:rFonts w:hint="eastAsia"/>
        </w:rPr>
        <w:t>、招标方式、招标控价</w:t>
      </w:r>
      <w:bookmarkEnd w:id="37"/>
    </w:p>
    <w:p w14:paraId="5CB64A7B">
      <w:pPr>
        <w:spacing w:line="360" w:lineRule="auto"/>
        <w:ind w:firstLine="480" w:firstLineChars="200"/>
        <w:rPr>
          <w:rFonts w:hint="eastAsia" w:cs="仿宋"/>
        </w:rPr>
      </w:pPr>
      <w:r>
        <w:rPr>
          <w:rFonts w:hint="eastAsia" w:cs="仿宋"/>
        </w:rPr>
        <w:t>1.2.1 项目资金来源：</w:t>
      </w:r>
      <w:bookmarkStart w:id="38" w:name="_Toc247513955"/>
      <w:bookmarkStart w:id="39" w:name="_Toc328559029"/>
      <w:bookmarkStart w:id="40" w:name="_Toc16572"/>
      <w:bookmarkStart w:id="41" w:name="_Toc30612"/>
      <w:bookmarkStart w:id="42" w:name="_Toc247527556"/>
      <w:bookmarkStart w:id="43" w:name="_Toc300834952"/>
      <w:r>
        <w:rPr>
          <w:rFonts w:hint="eastAsia" w:cs="仿宋"/>
        </w:rPr>
        <w:t>详见投标人须知前附表</w:t>
      </w:r>
    </w:p>
    <w:p w14:paraId="70EE0EE8">
      <w:pPr>
        <w:spacing w:line="360" w:lineRule="auto"/>
        <w:ind w:firstLine="480" w:firstLineChars="200"/>
        <w:rPr>
          <w:rFonts w:hint="eastAsia" w:cs="仿宋"/>
        </w:rPr>
      </w:pPr>
      <w:r>
        <w:rPr>
          <w:rFonts w:hint="eastAsia" w:cs="仿宋"/>
        </w:rPr>
        <w:t>1.2.2招标方式：详见投标人须知前附表</w:t>
      </w:r>
    </w:p>
    <w:p w14:paraId="2B7173CB">
      <w:pPr>
        <w:pStyle w:val="45"/>
        <w:ind w:left="0" w:leftChars="0" w:firstLine="480"/>
        <w:rPr>
          <w:rFonts w:hint="eastAsia"/>
        </w:rPr>
      </w:pPr>
      <w:r>
        <w:rPr>
          <w:rFonts w:hint="eastAsia" w:ascii="宋体" w:hAnsi="宋体" w:cs="仿宋"/>
        </w:rPr>
        <w:t>1.2.3</w:t>
      </w:r>
      <w:r>
        <w:rPr>
          <w:rFonts w:hint="eastAsia"/>
        </w:rPr>
        <w:t>招标控价：</w:t>
      </w:r>
      <w:r>
        <w:rPr>
          <w:rFonts w:hint="eastAsia" w:ascii="宋体" w:hAnsi="宋体" w:cs="仿宋"/>
        </w:rPr>
        <w:t>详见</w:t>
      </w:r>
      <w:r>
        <w:rPr>
          <w:rFonts w:hint="eastAsia" w:cs="仿宋"/>
        </w:rPr>
        <w:t>投标人须知前附表</w:t>
      </w:r>
    </w:p>
    <w:p w14:paraId="2224C846">
      <w:pPr>
        <w:pStyle w:val="59"/>
      </w:pPr>
      <w:bookmarkStart w:id="44" w:name="_Toc506105821"/>
      <w:bookmarkStart w:id="45" w:name="_Toc507936016"/>
      <w:r>
        <w:rPr>
          <w:rFonts w:hint="eastAsia"/>
        </w:rPr>
        <w:t>1.3 招标范围、供货周期、</w:t>
      </w:r>
      <w:bookmarkEnd w:id="38"/>
      <w:bookmarkEnd w:id="39"/>
      <w:bookmarkEnd w:id="40"/>
      <w:bookmarkEnd w:id="41"/>
      <w:bookmarkEnd w:id="42"/>
      <w:bookmarkEnd w:id="43"/>
      <w:bookmarkEnd w:id="44"/>
      <w:r>
        <w:rPr>
          <w:rFonts w:hint="eastAsia"/>
        </w:rPr>
        <w:t>交货地点和质保期</w:t>
      </w:r>
      <w:bookmarkEnd w:id="45"/>
    </w:p>
    <w:p w14:paraId="7064FFFE">
      <w:pPr>
        <w:tabs>
          <w:tab w:val="left" w:pos="220"/>
        </w:tabs>
        <w:snapToGrid w:val="0"/>
        <w:spacing w:line="360" w:lineRule="auto"/>
        <w:ind w:firstLine="480" w:firstLineChars="200"/>
        <w:rPr>
          <w:rFonts w:cs="仿宋"/>
        </w:rPr>
      </w:pPr>
      <w:r>
        <w:rPr>
          <w:rFonts w:hint="eastAsia" w:cs="仿宋"/>
        </w:rPr>
        <w:t>1.3.1 招标范围：详见投标人须知前附表</w:t>
      </w:r>
    </w:p>
    <w:p w14:paraId="0325CDA3">
      <w:pPr>
        <w:spacing w:line="360" w:lineRule="auto"/>
        <w:ind w:firstLine="480" w:firstLineChars="200"/>
        <w:rPr>
          <w:rFonts w:hint="eastAsia" w:cs="仿宋"/>
        </w:rPr>
      </w:pPr>
      <w:r>
        <w:rPr>
          <w:rFonts w:hint="eastAsia" w:cs="仿宋"/>
        </w:rPr>
        <w:t>1.3.2 供货周期：详见投标人须知前附表</w:t>
      </w:r>
    </w:p>
    <w:p w14:paraId="5010BC60">
      <w:pPr>
        <w:spacing w:line="360" w:lineRule="auto"/>
        <w:ind w:firstLine="480" w:firstLineChars="200"/>
        <w:rPr>
          <w:rFonts w:hint="eastAsia" w:cs="仿宋"/>
        </w:rPr>
      </w:pPr>
      <w:r>
        <w:rPr>
          <w:rFonts w:hint="eastAsia" w:cs="仿宋"/>
        </w:rPr>
        <w:t>1.3.3 交货地点：详见投标人须知前附表</w:t>
      </w:r>
    </w:p>
    <w:p w14:paraId="703E7449">
      <w:pPr>
        <w:spacing w:line="360" w:lineRule="auto"/>
        <w:ind w:firstLine="480" w:firstLineChars="200"/>
        <w:rPr>
          <w:rFonts w:cs="仿宋"/>
        </w:rPr>
      </w:pPr>
      <w:r>
        <w:rPr>
          <w:rFonts w:hint="eastAsia" w:cs="仿宋"/>
        </w:rPr>
        <w:t>1.3.4质保期：详见投标人须知前附表</w:t>
      </w:r>
    </w:p>
    <w:p w14:paraId="10D2048D">
      <w:pPr>
        <w:pStyle w:val="59"/>
      </w:pPr>
      <w:bookmarkStart w:id="46" w:name="_Toc507936017"/>
      <w:bookmarkStart w:id="47" w:name="_Toc506105822"/>
      <w:r>
        <w:rPr>
          <w:rFonts w:hint="eastAsia"/>
        </w:rPr>
        <w:t>1.4 投标人资格要求</w:t>
      </w:r>
      <w:bookmarkEnd w:id="46"/>
      <w:bookmarkEnd w:id="47"/>
    </w:p>
    <w:p w14:paraId="627BCFA0">
      <w:pPr>
        <w:ind w:firstLine="480" w:firstLineChars="200"/>
        <w:rPr>
          <w:rFonts w:cs="仿宋"/>
        </w:rPr>
      </w:pPr>
      <w:r>
        <w:rPr>
          <w:rFonts w:hint="eastAsia" w:cs="仿宋"/>
        </w:rPr>
        <w:t xml:space="preserve">1.4.1 </w:t>
      </w:r>
      <w:r>
        <w:rPr>
          <w:rFonts w:hint="eastAsia"/>
        </w:rPr>
        <w:t>投标人</w:t>
      </w:r>
      <w:r>
        <w:rPr>
          <w:rFonts w:hint="eastAsia" w:cs="仿宋"/>
        </w:rPr>
        <w:t>资格要求：详见投标人须知前附表</w:t>
      </w:r>
    </w:p>
    <w:p w14:paraId="274C6AC5">
      <w:pPr>
        <w:spacing w:line="360" w:lineRule="auto"/>
        <w:ind w:firstLine="480" w:firstLineChars="200"/>
        <w:rPr>
          <w:rFonts w:hint="eastAsia" w:cs="仿宋"/>
        </w:rPr>
      </w:pPr>
      <w:r>
        <w:rPr>
          <w:rFonts w:hint="eastAsia" w:cs="仿宋"/>
        </w:rPr>
        <w:t>1.4.2 本次招标不接受联合体。</w:t>
      </w:r>
    </w:p>
    <w:p w14:paraId="61A220EA">
      <w:pPr>
        <w:tabs>
          <w:tab w:val="left" w:pos="220"/>
        </w:tabs>
        <w:snapToGrid w:val="0"/>
        <w:spacing w:line="360" w:lineRule="auto"/>
        <w:ind w:firstLine="480" w:firstLineChars="200"/>
        <w:rPr>
          <w:rFonts w:hint="eastAsia" w:cs="仿宋"/>
        </w:rPr>
      </w:pPr>
      <w:r>
        <w:rPr>
          <w:rFonts w:hint="eastAsia" w:cs="仿宋"/>
        </w:rPr>
        <w:t>1.4.3投标人不得存在下列情形之一：</w:t>
      </w:r>
    </w:p>
    <w:p w14:paraId="56E6CA26">
      <w:pPr>
        <w:tabs>
          <w:tab w:val="left" w:pos="220"/>
        </w:tabs>
        <w:snapToGrid w:val="0"/>
        <w:spacing w:line="360" w:lineRule="auto"/>
        <w:ind w:firstLine="480" w:firstLineChars="200"/>
        <w:rPr>
          <w:rFonts w:hint="eastAsia" w:cs="仿宋"/>
        </w:rPr>
      </w:pPr>
      <w:r>
        <w:rPr>
          <w:rFonts w:hint="eastAsia" w:cs="仿宋"/>
        </w:rPr>
        <w:t>（1）与招标人存在利害关系且可能影响招标公正性；</w:t>
      </w:r>
    </w:p>
    <w:p w14:paraId="59A7C803">
      <w:pPr>
        <w:tabs>
          <w:tab w:val="left" w:pos="220"/>
        </w:tabs>
        <w:snapToGrid w:val="0"/>
        <w:spacing w:line="360" w:lineRule="auto"/>
        <w:ind w:firstLine="480" w:firstLineChars="200"/>
        <w:rPr>
          <w:rFonts w:hint="eastAsia" w:cs="仿宋"/>
        </w:rPr>
      </w:pPr>
      <w:r>
        <w:rPr>
          <w:rFonts w:hint="eastAsia" w:cs="仿宋"/>
        </w:rPr>
        <w:t>（2）与本招标项目的其他投标人为同一个单位负责人；</w:t>
      </w:r>
    </w:p>
    <w:p w14:paraId="285CB697">
      <w:pPr>
        <w:tabs>
          <w:tab w:val="left" w:pos="220"/>
        </w:tabs>
        <w:snapToGrid w:val="0"/>
        <w:spacing w:line="360" w:lineRule="auto"/>
        <w:ind w:firstLine="480" w:firstLineChars="200"/>
        <w:rPr>
          <w:rFonts w:hint="eastAsia" w:cs="仿宋"/>
        </w:rPr>
      </w:pPr>
      <w:r>
        <w:rPr>
          <w:rFonts w:hint="eastAsia" w:cs="仿宋"/>
        </w:rPr>
        <w:t>（3）与本招标项目的其他投标人存在控股、管理关系；</w:t>
      </w:r>
    </w:p>
    <w:p w14:paraId="71E3DA6C">
      <w:pPr>
        <w:tabs>
          <w:tab w:val="left" w:pos="220"/>
        </w:tabs>
        <w:snapToGrid w:val="0"/>
        <w:spacing w:line="360" w:lineRule="auto"/>
        <w:ind w:firstLine="480" w:firstLineChars="200"/>
        <w:rPr>
          <w:rFonts w:hint="eastAsia" w:cs="仿宋"/>
        </w:rPr>
      </w:pPr>
      <w:r>
        <w:rPr>
          <w:rFonts w:hint="eastAsia" w:cs="仿宋"/>
        </w:rPr>
        <w:t>（4）与本招标项目其他投标人代理同一个制造商同一品牌同一型号的设备投标；</w:t>
      </w:r>
    </w:p>
    <w:p w14:paraId="69FFD63C">
      <w:pPr>
        <w:tabs>
          <w:tab w:val="left" w:pos="220"/>
        </w:tabs>
        <w:snapToGrid w:val="0"/>
        <w:spacing w:line="360" w:lineRule="auto"/>
        <w:ind w:firstLine="480" w:firstLineChars="200"/>
        <w:rPr>
          <w:rFonts w:hint="eastAsia" w:cs="仿宋"/>
        </w:rPr>
      </w:pPr>
      <w:r>
        <w:rPr>
          <w:rFonts w:hint="eastAsia" w:cs="仿宋"/>
        </w:rPr>
        <w:t>（5）为本招标项目提供过设计、编制技术规范和其他文件的咨询服务；</w:t>
      </w:r>
    </w:p>
    <w:p w14:paraId="711909A7">
      <w:pPr>
        <w:tabs>
          <w:tab w:val="left" w:pos="220"/>
        </w:tabs>
        <w:snapToGrid w:val="0"/>
        <w:spacing w:line="360" w:lineRule="auto"/>
        <w:ind w:firstLine="480" w:firstLineChars="200"/>
        <w:rPr>
          <w:rFonts w:hint="eastAsia" w:cs="仿宋"/>
        </w:rPr>
      </w:pPr>
      <w:r>
        <w:rPr>
          <w:rFonts w:hint="eastAsia" w:cs="仿宋"/>
        </w:rPr>
        <w:t>（6）为本工程项目的相关监理人，或者与本工程项目的相关监理人存在隶属关系或者其他 利害关系；</w:t>
      </w:r>
    </w:p>
    <w:p w14:paraId="4CDE23FB">
      <w:pPr>
        <w:tabs>
          <w:tab w:val="left" w:pos="220"/>
        </w:tabs>
        <w:snapToGrid w:val="0"/>
        <w:spacing w:line="360" w:lineRule="auto"/>
        <w:ind w:firstLine="480" w:firstLineChars="200"/>
        <w:rPr>
          <w:rFonts w:hint="eastAsia" w:cs="仿宋"/>
        </w:rPr>
      </w:pPr>
      <w:r>
        <w:rPr>
          <w:rFonts w:hint="eastAsia" w:cs="仿宋"/>
        </w:rPr>
        <w:t>（7）为本招标项目的代建人；</w:t>
      </w:r>
    </w:p>
    <w:p w14:paraId="56D4038E">
      <w:pPr>
        <w:tabs>
          <w:tab w:val="left" w:pos="220"/>
        </w:tabs>
        <w:snapToGrid w:val="0"/>
        <w:spacing w:line="360" w:lineRule="auto"/>
        <w:ind w:firstLine="480" w:firstLineChars="200"/>
        <w:rPr>
          <w:rFonts w:hint="eastAsia" w:cs="仿宋"/>
        </w:rPr>
      </w:pPr>
      <w:r>
        <w:rPr>
          <w:rFonts w:hint="eastAsia" w:cs="仿宋"/>
        </w:rPr>
        <w:t>（8）为本招标项目的招标代理机构；</w:t>
      </w:r>
    </w:p>
    <w:p w14:paraId="638D83EE">
      <w:pPr>
        <w:tabs>
          <w:tab w:val="left" w:pos="220"/>
        </w:tabs>
        <w:snapToGrid w:val="0"/>
        <w:spacing w:line="360" w:lineRule="auto"/>
        <w:ind w:firstLine="480" w:firstLineChars="200"/>
        <w:rPr>
          <w:rFonts w:hint="eastAsia" w:cs="仿宋"/>
        </w:rPr>
      </w:pPr>
      <w:r>
        <w:rPr>
          <w:rFonts w:hint="eastAsia" w:cs="仿宋"/>
        </w:rPr>
        <w:t>（9）与本招标项目的监理人或代建人或招标代理机构同为一个法定代表人；</w:t>
      </w:r>
    </w:p>
    <w:p w14:paraId="52248822">
      <w:pPr>
        <w:tabs>
          <w:tab w:val="left" w:pos="220"/>
        </w:tabs>
        <w:snapToGrid w:val="0"/>
        <w:spacing w:line="360" w:lineRule="auto"/>
        <w:ind w:firstLine="480" w:firstLineChars="200"/>
        <w:rPr>
          <w:rFonts w:hint="eastAsia" w:cs="仿宋"/>
        </w:rPr>
      </w:pPr>
      <w:r>
        <w:rPr>
          <w:rFonts w:hint="eastAsia" w:cs="仿宋"/>
        </w:rPr>
        <w:t>（10）与本招标项目的监理人或代建人或招标代理机构存在控股或参股关系；</w:t>
      </w:r>
    </w:p>
    <w:p w14:paraId="29B0E145">
      <w:pPr>
        <w:tabs>
          <w:tab w:val="left" w:pos="220"/>
        </w:tabs>
        <w:snapToGrid w:val="0"/>
        <w:spacing w:line="360" w:lineRule="auto"/>
        <w:ind w:firstLine="480" w:firstLineChars="200"/>
        <w:rPr>
          <w:rFonts w:hint="eastAsia" w:cs="仿宋"/>
        </w:rPr>
      </w:pPr>
      <w:r>
        <w:rPr>
          <w:rFonts w:hint="eastAsia" w:cs="仿宋"/>
        </w:rPr>
        <w:t>（11）被依法暂停或者取消投标资格；</w:t>
      </w:r>
    </w:p>
    <w:p w14:paraId="382DAF45">
      <w:pPr>
        <w:tabs>
          <w:tab w:val="left" w:pos="220"/>
        </w:tabs>
        <w:snapToGrid w:val="0"/>
        <w:spacing w:line="360" w:lineRule="auto"/>
        <w:ind w:firstLine="480" w:firstLineChars="200"/>
        <w:rPr>
          <w:rFonts w:hint="eastAsia" w:cs="仿宋"/>
        </w:rPr>
      </w:pPr>
      <w:r>
        <w:rPr>
          <w:rFonts w:hint="eastAsia" w:cs="仿宋"/>
        </w:rPr>
        <w:t>（12）被责令停产停业、暂扣或者吊销许可证、暂扣或者吊销执照；</w:t>
      </w:r>
    </w:p>
    <w:p w14:paraId="31CC9078">
      <w:pPr>
        <w:tabs>
          <w:tab w:val="left" w:pos="220"/>
        </w:tabs>
        <w:snapToGrid w:val="0"/>
        <w:spacing w:line="360" w:lineRule="auto"/>
        <w:ind w:firstLine="480" w:firstLineChars="200"/>
        <w:rPr>
          <w:rFonts w:hint="eastAsia" w:cs="仿宋"/>
        </w:rPr>
      </w:pPr>
      <w:r>
        <w:rPr>
          <w:rFonts w:hint="eastAsia" w:cs="仿宋"/>
        </w:rPr>
        <w:t>（13）进入清算程序，或被宣告破产，或其他丧失履约能力的情形；</w:t>
      </w:r>
    </w:p>
    <w:p w14:paraId="4EBB2647">
      <w:pPr>
        <w:tabs>
          <w:tab w:val="left" w:pos="220"/>
        </w:tabs>
        <w:snapToGrid w:val="0"/>
        <w:spacing w:line="360" w:lineRule="auto"/>
        <w:ind w:firstLine="480" w:firstLineChars="200"/>
        <w:rPr>
          <w:rFonts w:hint="eastAsia" w:cs="仿宋"/>
        </w:rPr>
      </w:pPr>
      <w:r>
        <w:rPr>
          <w:rFonts w:hint="eastAsia" w:cs="仿宋"/>
        </w:rPr>
        <w:t>（14）在最近三年内发生重大产品质量问题（以相关行业主管部门的行政处罚决定或司法 机关出具的有关法律文书为准）；</w:t>
      </w:r>
    </w:p>
    <w:p w14:paraId="54091F18">
      <w:pPr>
        <w:tabs>
          <w:tab w:val="left" w:pos="220"/>
        </w:tabs>
        <w:snapToGrid w:val="0"/>
        <w:spacing w:line="360" w:lineRule="auto"/>
        <w:ind w:firstLine="480" w:firstLineChars="200"/>
        <w:rPr>
          <w:rFonts w:hint="eastAsia" w:cs="仿宋"/>
        </w:rPr>
      </w:pPr>
      <w:r>
        <w:rPr>
          <w:rFonts w:hint="eastAsia" w:cs="仿宋"/>
        </w:rPr>
        <w:t>（15）被工商行政管理机关在全国企业信用信息公示系统中列入严重违法失信企业名单；</w:t>
      </w:r>
    </w:p>
    <w:p w14:paraId="05BBA63A">
      <w:pPr>
        <w:tabs>
          <w:tab w:val="left" w:pos="220"/>
        </w:tabs>
        <w:snapToGrid w:val="0"/>
        <w:spacing w:line="360" w:lineRule="auto"/>
        <w:ind w:firstLine="480" w:firstLineChars="200"/>
        <w:rPr>
          <w:rFonts w:hint="eastAsia" w:cs="仿宋"/>
        </w:rPr>
      </w:pPr>
      <w:r>
        <w:rPr>
          <w:rFonts w:hint="eastAsia" w:cs="仿宋"/>
        </w:rPr>
        <w:t>（16）被最高人民法院在“信用中国”网站（www.creditchina.gov.cn)或各级信用信息共享平台中列入失信被执行人名单；</w:t>
      </w:r>
    </w:p>
    <w:p w14:paraId="4A035CD2">
      <w:pPr>
        <w:tabs>
          <w:tab w:val="left" w:pos="220"/>
        </w:tabs>
        <w:snapToGrid w:val="0"/>
        <w:spacing w:line="360" w:lineRule="auto"/>
        <w:ind w:firstLine="480" w:firstLineChars="200"/>
        <w:rPr>
          <w:rFonts w:hint="eastAsia" w:cs="仿宋"/>
        </w:rPr>
      </w:pPr>
      <w:r>
        <w:rPr>
          <w:rFonts w:hint="eastAsia" w:cs="仿宋"/>
        </w:rPr>
        <w:t>（17）在近三年内投标人或其法定代表人、拟委任的项目负责人有行贿犯罪行为的（以检察机关职务犯罪预防部门出具的查询结果为准）；</w:t>
      </w:r>
    </w:p>
    <w:p w14:paraId="66A10A62">
      <w:pPr>
        <w:tabs>
          <w:tab w:val="left" w:pos="220"/>
        </w:tabs>
        <w:snapToGrid w:val="0"/>
        <w:spacing w:line="360" w:lineRule="auto"/>
        <w:ind w:firstLine="480" w:firstLineChars="200"/>
        <w:rPr>
          <w:rFonts w:hint="eastAsia" w:cs="仿宋"/>
        </w:rPr>
      </w:pPr>
      <w:r>
        <w:rPr>
          <w:rFonts w:hint="eastAsia" w:cs="仿宋"/>
        </w:rPr>
        <w:t>（18）法律法规或投标人须知前附表规定的其他情形。</w:t>
      </w:r>
    </w:p>
    <w:p w14:paraId="2420B3A8">
      <w:pPr>
        <w:pStyle w:val="59"/>
      </w:pPr>
      <w:bookmarkStart w:id="48" w:name="_Toc507936018"/>
      <w:bookmarkStart w:id="49" w:name="_Toc506105823"/>
      <w:r>
        <w:rPr>
          <w:rFonts w:hint="eastAsia"/>
        </w:rPr>
        <w:t>1.5 费用承担</w:t>
      </w:r>
      <w:bookmarkEnd w:id="48"/>
      <w:bookmarkEnd w:id="49"/>
    </w:p>
    <w:p w14:paraId="325C9A4E">
      <w:pPr>
        <w:ind w:firstLine="480" w:firstLineChars="200"/>
        <w:rPr>
          <w:rFonts w:cs="仿宋"/>
        </w:rPr>
      </w:pPr>
      <w:r>
        <w:rPr>
          <w:rFonts w:hint="eastAsia"/>
        </w:rPr>
        <w:t>投标人</w:t>
      </w:r>
      <w:r>
        <w:rPr>
          <w:rFonts w:hint="eastAsia" w:cs="仿宋"/>
        </w:rPr>
        <w:t>准备和参加招标活动发生的费用自理。</w:t>
      </w:r>
    </w:p>
    <w:p w14:paraId="6AA4DFA2">
      <w:pPr>
        <w:pStyle w:val="59"/>
      </w:pPr>
      <w:bookmarkStart w:id="50" w:name="_Toc506105824"/>
      <w:bookmarkStart w:id="51" w:name="_Toc507936019"/>
      <w:r>
        <w:rPr>
          <w:rFonts w:hint="eastAsia"/>
        </w:rPr>
        <w:t>1.6 保密</w:t>
      </w:r>
      <w:bookmarkEnd w:id="50"/>
      <w:bookmarkEnd w:id="51"/>
    </w:p>
    <w:p w14:paraId="4A6641FA">
      <w:pPr>
        <w:spacing w:line="360" w:lineRule="auto"/>
        <w:ind w:firstLine="480" w:firstLineChars="200"/>
        <w:rPr>
          <w:rFonts w:cs="仿宋"/>
        </w:rPr>
      </w:pPr>
      <w:r>
        <w:rPr>
          <w:rFonts w:hint="eastAsia" w:cs="仿宋"/>
        </w:rPr>
        <w:t>参与招标活动的各方应对招标文件和投标文件中的商业和技术等秘密保密，违者应对由此造成的后果承担法律责任。</w:t>
      </w:r>
    </w:p>
    <w:p w14:paraId="5C86BDF8">
      <w:pPr>
        <w:pStyle w:val="59"/>
      </w:pPr>
      <w:bookmarkStart w:id="52" w:name="_Toc507936020"/>
      <w:bookmarkStart w:id="53" w:name="_Toc506105825"/>
      <w:r>
        <w:rPr>
          <w:rFonts w:hint="eastAsia"/>
        </w:rPr>
        <w:t>1.7 语言文字</w:t>
      </w:r>
      <w:bookmarkEnd w:id="52"/>
      <w:bookmarkEnd w:id="53"/>
    </w:p>
    <w:p w14:paraId="79610D2C">
      <w:pPr>
        <w:spacing w:line="360" w:lineRule="auto"/>
        <w:ind w:firstLine="480" w:firstLineChars="200"/>
        <w:rPr>
          <w:rFonts w:cs="仿宋"/>
        </w:rPr>
      </w:pPr>
      <w:r>
        <w:rPr>
          <w:rFonts w:hint="eastAsia" w:cs="仿宋"/>
        </w:rPr>
        <w:t>除专用术语外，与招标有关的语言均使用中文，必要时专用术语应附有中文注释。</w:t>
      </w:r>
    </w:p>
    <w:p w14:paraId="7D0194C3">
      <w:pPr>
        <w:pStyle w:val="59"/>
      </w:pPr>
      <w:bookmarkStart w:id="54" w:name="_Toc507936021"/>
      <w:bookmarkStart w:id="55" w:name="_Toc506105826"/>
      <w:r>
        <w:rPr>
          <w:rFonts w:hint="eastAsia"/>
        </w:rPr>
        <w:t>1.8 计量单位</w:t>
      </w:r>
      <w:bookmarkEnd w:id="54"/>
      <w:bookmarkEnd w:id="55"/>
    </w:p>
    <w:p w14:paraId="1352FDF0">
      <w:pPr>
        <w:spacing w:line="360" w:lineRule="auto"/>
        <w:ind w:firstLine="480" w:firstLineChars="200"/>
        <w:rPr>
          <w:rFonts w:cs="仿宋"/>
        </w:rPr>
      </w:pPr>
      <w:r>
        <w:rPr>
          <w:rFonts w:hint="eastAsia" w:cs="仿宋"/>
        </w:rPr>
        <w:t>所有计量均采用中华人民共和国法定计量单位。</w:t>
      </w:r>
    </w:p>
    <w:p w14:paraId="67050C9F">
      <w:pPr>
        <w:pStyle w:val="59"/>
      </w:pPr>
      <w:bookmarkStart w:id="56" w:name="_Toc507936022"/>
      <w:bookmarkStart w:id="57" w:name="_Toc506105827"/>
      <w:r>
        <w:rPr>
          <w:rFonts w:hint="eastAsia"/>
        </w:rPr>
        <w:t>1.9 踏勘现场</w:t>
      </w:r>
      <w:bookmarkEnd w:id="56"/>
      <w:bookmarkEnd w:id="57"/>
    </w:p>
    <w:p w14:paraId="3E47E86D">
      <w:pPr>
        <w:spacing w:line="360" w:lineRule="auto"/>
        <w:ind w:firstLine="480" w:firstLineChars="200"/>
        <w:rPr>
          <w:rStyle w:val="96"/>
        </w:rPr>
      </w:pPr>
      <w:r>
        <w:rPr>
          <w:rFonts w:hint="eastAsia" w:cs="仿宋"/>
        </w:rPr>
        <w:t>1.9.1详见投标人须知前附表</w:t>
      </w:r>
    </w:p>
    <w:p w14:paraId="630047EB">
      <w:pPr>
        <w:pStyle w:val="59"/>
      </w:pPr>
      <w:bookmarkStart w:id="58" w:name="_Toc507936023"/>
      <w:bookmarkStart w:id="59" w:name="_Toc506105828"/>
      <w:r>
        <w:rPr>
          <w:rFonts w:hint="eastAsia"/>
        </w:rPr>
        <w:t>1.10 招标预备会</w:t>
      </w:r>
      <w:bookmarkEnd w:id="58"/>
      <w:bookmarkEnd w:id="59"/>
    </w:p>
    <w:p w14:paraId="16AE950B">
      <w:pPr>
        <w:spacing w:line="360" w:lineRule="auto"/>
        <w:ind w:firstLine="480" w:firstLineChars="200"/>
        <w:rPr>
          <w:rFonts w:hint="eastAsia" w:cs="仿宋"/>
        </w:rPr>
      </w:pPr>
      <w:r>
        <w:rPr>
          <w:rFonts w:hint="eastAsia" w:cs="仿宋"/>
        </w:rPr>
        <w:t>1.10.1招标人不召开招标预备会。</w:t>
      </w:r>
    </w:p>
    <w:p w14:paraId="18436658">
      <w:pPr>
        <w:pStyle w:val="59"/>
        <w:rPr>
          <w:rFonts w:hint="eastAsia"/>
        </w:rPr>
      </w:pPr>
      <w:r>
        <w:rPr>
          <w:rFonts w:hint="eastAsia"/>
        </w:rPr>
        <w:t>1.11响应和偏差</w:t>
      </w:r>
    </w:p>
    <w:p w14:paraId="52E6FC05">
      <w:pPr>
        <w:spacing w:line="360" w:lineRule="auto"/>
        <w:ind w:firstLine="480" w:firstLineChars="200"/>
        <w:rPr>
          <w:rFonts w:hint="eastAsia" w:cs="仿宋"/>
        </w:rPr>
      </w:pPr>
      <w:r>
        <w:rPr>
          <w:rFonts w:hint="eastAsia" w:cs="仿宋"/>
        </w:rPr>
        <w:t>1.11.1投标文件应当对招标文件的实质性要求和条件作出满足性或更有利于招标人的响应，否则，投标人的投标将被否决。实质性要求和条件见投标人须知前附表。</w:t>
      </w:r>
    </w:p>
    <w:p w14:paraId="77949B06">
      <w:pPr>
        <w:spacing w:line="360" w:lineRule="auto"/>
        <w:ind w:firstLine="480" w:firstLineChars="200"/>
        <w:rPr>
          <w:rFonts w:hint="eastAsia" w:cs="仿宋"/>
        </w:rPr>
      </w:pPr>
      <w:r>
        <w:rPr>
          <w:rFonts w:hint="eastAsia" w:cs="仿宋"/>
        </w:rPr>
        <w:t>1.11.2投标人应根据招标文件的要求提供投标设备技术性能指标的详细描述、技术支持资料及技术服务和质保期服务计划等内容以对招标文件作出响应。</w:t>
      </w:r>
    </w:p>
    <w:p w14:paraId="7B65BD2F">
      <w:pPr>
        <w:spacing w:line="360" w:lineRule="auto"/>
        <w:ind w:firstLine="480" w:firstLineChars="200"/>
        <w:rPr>
          <w:rFonts w:hint="eastAsia" w:cs="仿宋"/>
        </w:rPr>
      </w:pPr>
      <w:r>
        <w:rPr>
          <w:rFonts w:hint="eastAsia" w:cs="仿宋"/>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3ABE7FA">
      <w:pPr>
        <w:spacing w:line="360" w:lineRule="auto"/>
        <w:ind w:firstLine="480" w:firstLineChars="200"/>
        <w:rPr>
          <w:rFonts w:hint="eastAsia" w:cs="仿宋"/>
        </w:rPr>
      </w:pPr>
      <w:r>
        <w:rPr>
          <w:rFonts w:hint="eastAsia" w:cs="仿宋"/>
        </w:rPr>
        <w:t>1.11.4投标人须知前附表规定了可以偏差的范围和最高偏差项数的，偏差应当符合投标人须知前附表规定的偏差范围和最高项数，超出偏差范围和最高偏差项数的投标将被否决。</w:t>
      </w:r>
    </w:p>
    <w:p w14:paraId="40359951">
      <w:pPr>
        <w:spacing w:line="360" w:lineRule="auto"/>
        <w:ind w:firstLine="480" w:firstLineChars="200"/>
        <w:rPr>
          <w:rFonts w:hint="eastAsia" w:cs="仿宋"/>
        </w:rPr>
      </w:pPr>
      <w:r>
        <w:rPr>
          <w:rFonts w:hint="eastAsia" w:cs="仿宋"/>
        </w:rPr>
        <w:t>1.11.5投标文件对招标文件的全部偏差，均应在投标文件的商务和技术偏差表中列明，除列明的内容外，视为投标人响应招标文件的全部要求。</w:t>
      </w:r>
    </w:p>
    <w:p w14:paraId="14B9D161">
      <w:pPr>
        <w:pStyle w:val="64"/>
        <w:rPr>
          <w:rStyle w:val="96"/>
          <w:b/>
          <w:bCs/>
        </w:rPr>
      </w:pPr>
      <w:bookmarkStart w:id="60" w:name="_Toc507936024"/>
      <w:r>
        <w:rPr>
          <w:rStyle w:val="96"/>
          <w:rFonts w:hint="eastAsia"/>
          <w:b/>
          <w:bCs/>
        </w:rPr>
        <w:t>2.招标文件</w:t>
      </w:r>
      <w:bookmarkEnd w:id="60"/>
    </w:p>
    <w:p w14:paraId="0098E044">
      <w:pPr>
        <w:pStyle w:val="59"/>
      </w:pPr>
      <w:bookmarkStart w:id="61" w:name="_Toc506105830"/>
      <w:bookmarkStart w:id="62" w:name="_Toc507936025"/>
      <w:r>
        <w:rPr>
          <w:rFonts w:hint="eastAsia"/>
        </w:rPr>
        <w:t>2.1 招标文件的内容</w:t>
      </w:r>
      <w:bookmarkEnd w:id="61"/>
      <w:bookmarkEnd w:id="62"/>
      <w:r>
        <w:rPr>
          <w:rFonts w:hint="eastAsia"/>
        </w:rPr>
        <w:t>和发布</w:t>
      </w:r>
    </w:p>
    <w:p w14:paraId="2FF0A4F7">
      <w:pPr>
        <w:spacing w:line="360" w:lineRule="auto"/>
        <w:ind w:firstLine="480" w:firstLineChars="200"/>
        <w:rPr>
          <w:rFonts w:cs="仿宋"/>
        </w:rPr>
      </w:pPr>
      <w:r>
        <w:rPr>
          <w:rFonts w:hint="eastAsia" w:cs="仿宋"/>
        </w:rPr>
        <w:t>2.1.1招标文件包括：</w:t>
      </w:r>
    </w:p>
    <w:p w14:paraId="0FA68F33">
      <w:pPr>
        <w:spacing w:line="360" w:lineRule="auto"/>
        <w:ind w:firstLine="480" w:firstLineChars="200"/>
        <w:rPr>
          <w:rFonts w:cs="仿宋"/>
        </w:rPr>
      </w:pPr>
      <w:r>
        <w:rPr>
          <w:rFonts w:hint="eastAsia" w:cs="仿宋"/>
        </w:rPr>
        <w:t>（1）招标公告</w:t>
      </w:r>
    </w:p>
    <w:p w14:paraId="77D807D3">
      <w:pPr>
        <w:spacing w:line="360" w:lineRule="auto"/>
        <w:ind w:firstLine="480" w:firstLineChars="200"/>
        <w:rPr>
          <w:rFonts w:cs="仿宋"/>
        </w:rPr>
      </w:pPr>
      <w:r>
        <w:rPr>
          <w:rFonts w:hint="eastAsia" w:cs="仿宋"/>
        </w:rPr>
        <w:t>（2）招标人须知</w:t>
      </w:r>
    </w:p>
    <w:p w14:paraId="591D6468">
      <w:pPr>
        <w:spacing w:line="360" w:lineRule="auto"/>
        <w:ind w:firstLine="480" w:firstLineChars="200"/>
        <w:rPr>
          <w:rFonts w:cs="仿宋"/>
        </w:rPr>
      </w:pPr>
      <w:r>
        <w:rPr>
          <w:rFonts w:hint="eastAsia" w:cs="仿宋"/>
        </w:rPr>
        <w:t>（3）评标办法</w:t>
      </w:r>
    </w:p>
    <w:p w14:paraId="3552B93F">
      <w:pPr>
        <w:spacing w:line="360" w:lineRule="auto"/>
        <w:ind w:firstLine="480" w:firstLineChars="200"/>
        <w:rPr>
          <w:rFonts w:cs="仿宋"/>
        </w:rPr>
      </w:pPr>
      <w:r>
        <w:rPr>
          <w:rFonts w:hint="eastAsia" w:cs="仿宋"/>
        </w:rPr>
        <w:t>（4）合同及附件</w:t>
      </w:r>
    </w:p>
    <w:p w14:paraId="4867BF14">
      <w:pPr>
        <w:spacing w:line="360" w:lineRule="auto"/>
        <w:ind w:firstLine="480" w:firstLineChars="200"/>
        <w:rPr>
          <w:rFonts w:cs="仿宋"/>
        </w:rPr>
      </w:pPr>
      <w:r>
        <w:rPr>
          <w:rFonts w:hint="eastAsia" w:cs="仿宋"/>
        </w:rPr>
        <w:t>（5）投标文件格式及内容</w:t>
      </w:r>
    </w:p>
    <w:p w14:paraId="6B31EC95">
      <w:pPr>
        <w:spacing w:line="360" w:lineRule="auto"/>
        <w:ind w:firstLine="480" w:firstLineChars="200"/>
        <w:rPr>
          <w:rFonts w:cs="仿宋"/>
        </w:rPr>
      </w:pPr>
      <w:r>
        <w:rPr>
          <w:rFonts w:hint="eastAsia" w:cs="仿宋"/>
        </w:rPr>
        <w:t>（6）需求一览表</w:t>
      </w:r>
    </w:p>
    <w:p w14:paraId="7F7FCB6E">
      <w:pPr>
        <w:spacing w:line="360" w:lineRule="auto"/>
        <w:ind w:firstLine="480" w:firstLineChars="200"/>
        <w:rPr>
          <w:rFonts w:hint="eastAsia" w:cs="仿宋"/>
        </w:rPr>
      </w:pPr>
      <w:r>
        <w:rPr>
          <w:rFonts w:hint="eastAsia" w:cs="仿宋"/>
        </w:rPr>
        <w:t>（7）技术规范</w:t>
      </w:r>
    </w:p>
    <w:p w14:paraId="1751DA52">
      <w:pPr>
        <w:spacing w:line="360" w:lineRule="auto"/>
        <w:ind w:firstLine="480" w:firstLineChars="200"/>
        <w:rPr>
          <w:rFonts w:cs="仿宋"/>
        </w:rPr>
      </w:pPr>
      <w:r>
        <w:rPr>
          <w:rFonts w:hint="eastAsia" w:cs="仿宋"/>
        </w:rPr>
        <w:t>（8）</w:t>
      </w:r>
      <w:r>
        <w:rPr>
          <w:rFonts w:hint="eastAsia"/>
        </w:rPr>
        <w:t>投标人须知前附表规定的其他材料</w:t>
      </w:r>
    </w:p>
    <w:p w14:paraId="4B948BD7">
      <w:pPr>
        <w:spacing w:line="360" w:lineRule="auto"/>
        <w:ind w:firstLine="480" w:firstLineChars="200"/>
        <w:rPr>
          <w:rFonts w:cs="仿宋"/>
        </w:rPr>
      </w:pPr>
      <w:r>
        <w:rPr>
          <w:rFonts w:hint="eastAsia" w:cs="仿宋"/>
        </w:rPr>
        <w:t>根据本章第1.10款、第2.2款和第2.3款对招标文件所作的澄清、修改，构成招标文件的组成部分。</w:t>
      </w:r>
    </w:p>
    <w:p w14:paraId="3ECF2774">
      <w:pPr>
        <w:spacing w:line="360" w:lineRule="auto"/>
        <w:ind w:firstLine="480" w:firstLineChars="200"/>
        <w:rPr>
          <w:rFonts w:hint="eastAsia" w:cs="仿宋"/>
        </w:rPr>
      </w:pPr>
      <w:r>
        <w:rPr>
          <w:rFonts w:hint="eastAsia" w:cs="仿宋"/>
        </w:rPr>
        <w:t>2.1.2若招标文件中不同章节对同一内容叙述有差异的，性能、参数以技术要求为准；投标人资格要求、交货期、交货地点、质保期以</w:t>
      </w:r>
      <w:r>
        <w:rPr>
          <w:rFonts w:hint="eastAsia"/>
        </w:rPr>
        <w:t>投标人须知前附表</w:t>
      </w:r>
      <w:r>
        <w:rPr>
          <w:rFonts w:hint="eastAsia" w:cs="仿宋"/>
        </w:rPr>
        <w:t>为准。</w:t>
      </w:r>
    </w:p>
    <w:p w14:paraId="56E673F1">
      <w:pPr>
        <w:pStyle w:val="45"/>
        <w:spacing w:line="360" w:lineRule="auto"/>
        <w:ind w:left="0" w:leftChars="0" w:firstLine="480"/>
        <w:rPr>
          <w:rFonts w:ascii="宋体" w:hAnsi="宋体" w:cs="仿宋"/>
        </w:rPr>
      </w:pPr>
      <w:r>
        <w:rPr>
          <w:rFonts w:hint="eastAsia" w:ascii="宋体" w:hAnsi="宋体" w:cs="仿宋"/>
        </w:rPr>
        <w:t>2.1.3本招标文件在济钢集团有限公司阳光购销平台（网址：</w:t>
      </w:r>
      <w:r>
        <w:rPr>
          <w:rFonts w:hint="eastAsia" w:ascii="宋体" w:hAnsi="宋体" w:cs="仿宋"/>
        </w:rPr>
        <w:fldChar w:fldCharType="begin"/>
      </w:r>
      <w:r>
        <w:rPr>
          <w:rFonts w:hint="eastAsia" w:ascii="宋体" w:hAnsi="宋体" w:cs="仿宋"/>
        </w:rPr>
        <w:instrText xml:space="preserve"> HYPERLINK "http://bidding.jigang.com.cn" </w:instrText>
      </w:r>
      <w:r>
        <w:rPr>
          <w:rFonts w:hint="eastAsia" w:ascii="宋体" w:hAnsi="宋体" w:cs="仿宋"/>
        </w:rPr>
        <w:fldChar w:fldCharType="separate"/>
      </w:r>
      <w:r>
        <w:rPr>
          <w:rFonts w:hint="eastAsia" w:ascii="宋体" w:hAnsi="宋体" w:cs="仿宋"/>
        </w:rPr>
        <w:t>http://bidding.jigang.com.cn</w:t>
      </w:r>
      <w:r>
        <w:rPr>
          <w:rFonts w:hint="eastAsia" w:ascii="宋体" w:hAnsi="宋体" w:cs="仿宋"/>
        </w:rPr>
        <w:fldChar w:fldCharType="end"/>
      </w:r>
      <w:r>
        <w:rPr>
          <w:rFonts w:hint="eastAsia" w:ascii="宋体" w:hAnsi="宋体" w:cs="仿宋"/>
        </w:rPr>
        <w:t>/） 上发布。除上述媒介以外的媒介转载或发布与本次招标相关信息的，招标人不承担任何责任并保留追究相关方责任的权利。</w:t>
      </w:r>
    </w:p>
    <w:p w14:paraId="0AD1D5F0">
      <w:pPr>
        <w:pStyle w:val="59"/>
      </w:pPr>
      <w:bookmarkStart w:id="63" w:name="_Toc507936026"/>
      <w:bookmarkStart w:id="64" w:name="_Toc506105831"/>
      <w:r>
        <w:rPr>
          <w:rFonts w:hint="eastAsia"/>
        </w:rPr>
        <w:t>2.2 招标文件的澄清</w:t>
      </w:r>
      <w:bookmarkEnd w:id="63"/>
      <w:bookmarkEnd w:id="64"/>
    </w:p>
    <w:p w14:paraId="62DCBC9D">
      <w:pPr>
        <w:spacing w:line="360" w:lineRule="auto"/>
        <w:ind w:firstLine="480" w:firstLineChars="200"/>
        <w:rPr>
          <w:rFonts w:cs="仿宋"/>
        </w:rPr>
      </w:pPr>
      <w:r>
        <w:rPr>
          <w:rFonts w:hint="eastAsia" w:cs="仿宋"/>
        </w:rPr>
        <w:t>2.2.1投标人应仔细阅读和检查招标文件的全部内容。如发现缺页或者附件不全，应及时向招标人提出，以便补齐。</w:t>
      </w:r>
    </w:p>
    <w:p w14:paraId="6D0A51E2">
      <w:pPr>
        <w:spacing w:line="360" w:lineRule="auto"/>
        <w:ind w:firstLine="480" w:firstLineChars="200"/>
        <w:rPr>
          <w:rFonts w:hint="eastAsia"/>
        </w:rPr>
      </w:pPr>
      <w:r>
        <w:rPr>
          <w:rFonts w:hint="eastAsia" w:cs="仿宋"/>
        </w:rPr>
        <w:t>2.2.2招标文件的澄清：详见投标人须知前附表</w:t>
      </w:r>
    </w:p>
    <w:p w14:paraId="7ED47CB6">
      <w:pPr>
        <w:pStyle w:val="59"/>
        <w:rPr>
          <w:rFonts w:hint="eastAsia"/>
        </w:rPr>
      </w:pPr>
      <w:bookmarkStart w:id="65" w:name="_Toc506105832"/>
      <w:bookmarkStart w:id="66" w:name="_Toc507936027"/>
      <w:r>
        <w:rPr>
          <w:rFonts w:hint="eastAsia"/>
        </w:rPr>
        <w:t>2.3 招标文件的修改</w:t>
      </w:r>
      <w:bookmarkEnd w:id="65"/>
      <w:bookmarkEnd w:id="66"/>
    </w:p>
    <w:p w14:paraId="61CD0E56">
      <w:pPr>
        <w:spacing w:line="360" w:lineRule="auto"/>
        <w:ind w:firstLine="480" w:firstLineChars="200"/>
        <w:rPr>
          <w:rFonts w:hint="eastAsia" w:cs="仿宋"/>
        </w:rPr>
      </w:pPr>
      <w:r>
        <w:rPr>
          <w:rFonts w:hint="eastAsia" w:cs="仿宋"/>
        </w:rPr>
        <w:t>详见投标人须知前附表</w:t>
      </w:r>
    </w:p>
    <w:p w14:paraId="2332A8B3">
      <w:pPr>
        <w:pStyle w:val="59"/>
      </w:pPr>
      <w:bookmarkStart w:id="67" w:name="_Toc506105833"/>
      <w:bookmarkStart w:id="68" w:name="_Toc507936028"/>
      <w:r>
        <w:rPr>
          <w:rFonts w:hint="eastAsia"/>
        </w:rPr>
        <w:t>2.4对招标文件的异议</w:t>
      </w:r>
      <w:bookmarkEnd w:id="67"/>
      <w:bookmarkEnd w:id="68"/>
    </w:p>
    <w:p w14:paraId="196E3E50">
      <w:pPr>
        <w:spacing w:line="360" w:lineRule="auto"/>
        <w:ind w:firstLine="480" w:firstLineChars="200"/>
        <w:rPr>
          <w:rFonts w:hint="eastAsia" w:cs="仿宋"/>
        </w:rPr>
      </w:pPr>
      <w:r>
        <w:rPr>
          <w:rFonts w:hint="eastAsia" w:cs="仿宋"/>
        </w:rPr>
        <w:t>投标人对招标文件有异议的，应当在递交投标文件截止之日7天前提出。招标人自收到异议之日起3日内做出答复；若异议和答复内容影响招标文件编制的，按照本章第2.3款的规定相应延长开标时间。</w:t>
      </w:r>
    </w:p>
    <w:p w14:paraId="0353C9E3">
      <w:pPr>
        <w:spacing w:line="360" w:lineRule="auto"/>
        <w:jc w:val="center"/>
        <w:rPr>
          <w:rStyle w:val="96"/>
          <w:rFonts w:hint="eastAsia"/>
        </w:rPr>
      </w:pPr>
      <w:r>
        <w:rPr>
          <w:rStyle w:val="96"/>
          <w:rFonts w:hint="eastAsia"/>
        </w:rPr>
        <w:t>3、投标文件</w:t>
      </w:r>
    </w:p>
    <w:p w14:paraId="21980BDE">
      <w:pPr>
        <w:pStyle w:val="59"/>
      </w:pPr>
      <w:bookmarkStart w:id="69" w:name="_Toc506105835"/>
      <w:bookmarkStart w:id="70" w:name="_Toc507936029"/>
      <w:r>
        <w:rPr>
          <w:rFonts w:hint="eastAsia"/>
        </w:rPr>
        <w:t>3.1 投标文件的组成</w:t>
      </w:r>
      <w:bookmarkEnd w:id="69"/>
      <w:bookmarkEnd w:id="70"/>
    </w:p>
    <w:p w14:paraId="493DFF54">
      <w:pPr>
        <w:spacing w:line="360" w:lineRule="auto"/>
        <w:ind w:firstLine="480" w:firstLineChars="200"/>
        <w:rPr>
          <w:rFonts w:cs="仿宋"/>
        </w:rPr>
      </w:pPr>
      <w:r>
        <w:rPr>
          <w:rFonts w:hint="eastAsia" w:cs="仿宋"/>
        </w:rPr>
        <w:t>3.1.1投标文件包括下列内容：</w:t>
      </w:r>
    </w:p>
    <w:p w14:paraId="11E6F362">
      <w:pPr>
        <w:spacing w:line="360" w:lineRule="auto"/>
        <w:ind w:firstLine="480" w:firstLineChars="200"/>
        <w:rPr>
          <w:rFonts w:cs="仿宋"/>
        </w:rPr>
      </w:pPr>
      <w:r>
        <w:rPr>
          <w:rFonts w:hint="eastAsia" w:cs="仿宋"/>
        </w:rPr>
        <w:t>第一部分  商务部分</w:t>
      </w:r>
    </w:p>
    <w:p w14:paraId="5AD9BF5A">
      <w:pPr>
        <w:spacing w:line="360" w:lineRule="auto"/>
        <w:ind w:firstLine="480" w:firstLineChars="200"/>
        <w:rPr>
          <w:rFonts w:cs="仿宋"/>
        </w:rPr>
      </w:pPr>
      <w:r>
        <w:rPr>
          <w:rFonts w:hint="eastAsia" w:cs="仿宋"/>
        </w:rPr>
        <w:t>（1）报价函</w:t>
      </w:r>
    </w:p>
    <w:p w14:paraId="088FC515">
      <w:pPr>
        <w:spacing w:line="360" w:lineRule="auto"/>
        <w:ind w:firstLine="480" w:firstLineChars="200"/>
        <w:rPr>
          <w:rFonts w:cs="仿宋"/>
        </w:rPr>
      </w:pPr>
      <w:r>
        <w:rPr>
          <w:rFonts w:hint="eastAsia" w:cs="仿宋"/>
        </w:rPr>
        <w:t>（2）授权委托书</w:t>
      </w:r>
    </w:p>
    <w:p w14:paraId="71AF887E">
      <w:pPr>
        <w:spacing w:line="360" w:lineRule="auto"/>
        <w:ind w:firstLine="480" w:firstLineChars="200"/>
        <w:rPr>
          <w:rFonts w:cs="仿宋"/>
        </w:rPr>
      </w:pPr>
      <w:r>
        <w:rPr>
          <w:rFonts w:hint="eastAsia" w:cs="仿宋"/>
        </w:rPr>
        <w:t>（3）投标保证金</w:t>
      </w:r>
    </w:p>
    <w:p w14:paraId="3CFDAA04">
      <w:pPr>
        <w:spacing w:line="360" w:lineRule="auto"/>
        <w:ind w:firstLine="480" w:firstLineChars="200"/>
        <w:rPr>
          <w:rFonts w:cs="仿宋"/>
        </w:rPr>
      </w:pPr>
      <w:r>
        <w:rPr>
          <w:rFonts w:hint="eastAsia" w:cs="仿宋"/>
        </w:rPr>
        <w:t>（4）资格审查资料</w:t>
      </w:r>
    </w:p>
    <w:p w14:paraId="69ED0EC3">
      <w:pPr>
        <w:spacing w:line="360" w:lineRule="auto"/>
        <w:ind w:firstLine="480" w:firstLineChars="200"/>
        <w:rPr>
          <w:rFonts w:cs="仿宋"/>
        </w:rPr>
      </w:pPr>
      <w:r>
        <w:rPr>
          <w:rFonts w:hint="eastAsia" w:cs="仿宋"/>
        </w:rPr>
        <w:t>（5）报价表</w:t>
      </w:r>
    </w:p>
    <w:p w14:paraId="7095F478">
      <w:pPr>
        <w:spacing w:line="360" w:lineRule="auto"/>
        <w:ind w:firstLine="480" w:firstLineChars="200"/>
        <w:rPr>
          <w:rFonts w:cs="仿宋"/>
        </w:rPr>
      </w:pPr>
      <w:r>
        <w:rPr>
          <w:rFonts w:hint="eastAsia" w:cs="仿宋"/>
        </w:rPr>
        <w:t>（6）商务偏差表</w:t>
      </w:r>
    </w:p>
    <w:p w14:paraId="57DC0EA8">
      <w:pPr>
        <w:spacing w:line="360" w:lineRule="auto"/>
        <w:ind w:firstLine="480" w:firstLineChars="200"/>
        <w:rPr>
          <w:rFonts w:cs="仿宋"/>
        </w:rPr>
      </w:pPr>
      <w:r>
        <w:rPr>
          <w:rFonts w:hint="eastAsia" w:cs="仿宋"/>
        </w:rPr>
        <w:t>（7）无行贿犯罪记录证明材料</w:t>
      </w:r>
    </w:p>
    <w:p w14:paraId="0BF3B6E9">
      <w:pPr>
        <w:spacing w:line="360" w:lineRule="auto"/>
        <w:ind w:firstLine="480" w:firstLineChars="200"/>
        <w:rPr>
          <w:rFonts w:cs="仿宋"/>
        </w:rPr>
      </w:pPr>
      <w:r>
        <w:rPr>
          <w:rFonts w:hint="eastAsia" w:cs="仿宋"/>
        </w:rPr>
        <w:t>（8）投标人认为应补充的其它商务资料</w:t>
      </w:r>
    </w:p>
    <w:p w14:paraId="1FA1E671">
      <w:pPr>
        <w:spacing w:line="360" w:lineRule="auto"/>
        <w:ind w:firstLine="480" w:firstLineChars="200"/>
        <w:rPr>
          <w:rFonts w:cs="仿宋"/>
        </w:rPr>
      </w:pPr>
      <w:r>
        <w:rPr>
          <w:rFonts w:hint="eastAsia" w:cs="仿宋"/>
        </w:rPr>
        <w:t>第二部分  技术部分</w:t>
      </w:r>
    </w:p>
    <w:p w14:paraId="2359252E">
      <w:pPr>
        <w:spacing w:line="360" w:lineRule="auto"/>
        <w:ind w:left="480"/>
        <w:rPr>
          <w:rFonts w:cs="仿宋"/>
        </w:rPr>
      </w:pPr>
      <w:r>
        <w:rPr>
          <w:rFonts w:hint="eastAsia" w:cs="仿宋"/>
        </w:rPr>
        <w:t>（1）招标内容</w:t>
      </w:r>
    </w:p>
    <w:p w14:paraId="6567C352">
      <w:pPr>
        <w:spacing w:line="360" w:lineRule="auto"/>
        <w:ind w:left="480"/>
        <w:rPr>
          <w:rFonts w:cs="仿宋"/>
        </w:rPr>
      </w:pPr>
      <w:r>
        <w:rPr>
          <w:rFonts w:hint="eastAsia" w:cs="仿宋"/>
        </w:rPr>
        <w:t>（2）交货计划表</w:t>
      </w:r>
    </w:p>
    <w:p w14:paraId="7A46F2D5">
      <w:pPr>
        <w:spacing w:line="360" w:lineRule="auto"/>
        <w:ind w:left="480"/>
        <w:rPr>
          <w:rFonts w:cs="仿宋"/>
        </w:rPr>
      </w:pPr>
      <w:r>
        <w:rPr>
          <w:rFonts w:hint="eastAsia" w:cs="仿宋"/>
        </w:rPr>
        <w:t>（3）技术要求</w:t>
      </w:r>
    </w:p>
    <w:p w14:paraId="08E56013">
      <w:pPr>
        <w:spacing w:line="360" w:lineRule="auto"/>
        <w:ind w:left="480"/>
        <w:rPr>
          <w:rFonts w:hint="eastAsia" w:cs="仿宋"/>
        </w:rPr>
      </w:pPr>
      <w:r>
        <w:rPr>
          <w:rFonts w:hint="eastAsia" w:cs="仿宋"/>
        </w:rPr>
        <w:t>（4）技术偏差表</w:t>
      </w:r>
    </w:p>
    <w:p w14:paraId="1A60C931">
      <w:pPr>
        <w:pStyle w:val="45"/>
        <w:ind w:left="0" w:leftChars="0" w:firstLine="480"/>
      </w:pPr>
      <w:r>
        <w:rPr>
          <w:rFonts w:hint="eastAsia" w:ascii="宋体" w:hAnsi="宋体" w:cs="仿宋"/>
        </w:rPr>
        <w:t>（5）</w:t>
      </w:r>
      <w:r>
        <w:rPr>
          <w:rFonts w:hint="eastAsia" w:cs="仿宋"/>
        </w:rPr>
        <w:t>投标人</w:t>
      </w:r>
      <w:r>
        <w:rPr>
          <w:rFonts w:hint="eastAsia" w:ascii="宋体" w:hAnsi="宋体" w:cs="仿宋"/>
        </w:rPr>
        <w:t>认为应补充的其它技术资料</w:t>
      </w:r>
    </w:p>
    <w:p w14:paraId="38F29C09">
      <w:pPr>
        <w:pStyle w:val="59"/>
      </w:pPr>
      <w:bookmarkStart w:id="71" w:name="_Toc406766394"/>
      <w:bookmarkStart w:id="72" w:name="_Toc506105836"/>
      <w:bookmarkStart w:id="73" w:name="_Toc507936030"/>
      <w:r>
        <w:rPr>
          <w:rFonts w:hint="eastAsia"/>
        </w:rPr>
        <w:t>3.2 报价</w:t>
      </w:r>
      <w:bookmarkEnd w:id="71"/>
      <w:bookmarkEnd w:id="72"/>
      <w:bookmarkEnd w:id="73"/>
    </w:p>
    <w:p w14:paraId="3A210F9F">
      <w:pPr>
        <w:spacing w:line="360" w:lineRule="auto"/>
        <w:ind w:firstLine="480" w:firstLineChars="200"/>
        <w:rPr>
          <w:rFonts w:hint="eastAsia" w:cs="仿宋"/>
        </w:rPr>
      </w:pPr>
      <w:r>
        <w:rPr>
          <w:rFonts w:hint="eastAsia" w:cs="仿宋"/>
        </w:rPr>
        <w:t>3.2.1 报价方式：投标总价；</w:t>
      </w:r>
      <w:r>
        <w:rPr>
          <w:rFonts w:hint="eastAsia"/>
        </w:rPr>
        <w:t>报价币种：人民币；报价为</w:t>
      </w:r>
      <w:r>
        <w:rPr>
          <w:rFonts w:hint="eastAsia"/>
          <w:lang w:val="en-US" w:eastAsia="zh-CN"/>
        </w:rPr>
        <w:t>含</w:t>
      </w:r>
      <w:r>
        <w:rPr>
          <w:rFonts w:hint="eastAsia"/>
        </w:rPr>
        <w:t>增值税专用发票价格。</w:t>
      </w:r>
    </w:p>
    <w:p w14:paraId="2E14DA4C">
      <w:pPr>
        <w:spacing w:line="360" w:lineRule="auto"/>
        <w:ind w:firstLine="480" w:firstLineChars="200"/>
        <w:rPr>
          <w:rFonts w:cs="仿宋"/>
        </w:rPr>
      </w:pPr>
      <w:r>
        <w:rPr>
          <w:rFonts w:hint="eastAsia" w:cs="仿宋"/>
        </w:rPr>
        <w:t>3.2.2 投标人在招标开始时间前修改报价函中的总报价，应同时修改“报价组成表”中的相应价格。此修改须符合本章第4.3款的有关规定。　</w:t>
      </w:r>
    </w:p>
    <w:p w14:paraId="60977492">
      <w:pPr>
        <w:pStyle w:val="59"/>
      </w:pPr>
      <w:bookmarkStart w:id="74" w:name="_Toc506105837"/>
      <w:bookmarkStart w:id="75" w:name="_Toc406766395"/>
      <w:bookmarkStart w:id="76" w:name="_Toc507936031"/>
      <w:r>
        <w:rPr>
          <w:rFonts w:hint="eastAsia"/>
        </w:rPr>
        <w:t>3.3 投标有效期</w:t>
      </w:r>
      <w:bookmarkEnd w:id="74"/>
      <w:bookmarkEnd w:id="75"/>
      <w:bookmarkEnd w:id="76"/>
    </w:p>
    <w:p w14:paraId="40532B91">
      <w:pPr>
        <w:spacing w:line="360" w:lineRule="auto"/>
        <w:ind w:firstLine="480" w:firstLineChars="200"/>
        <w:rPr>
          <w:rFonts w:cs="仿宋"/>
        </w:rPr>
      </w:pPr>
      <w:r>
        <w:rPr>
          <w:rFonts w:hint="eastAsia" w:cs="仿宋"/>
        </w:rPr>
        <w:t>3.3.1投标有效期：详见投标人须知前附表</w:t>
      </w:r>
    </w:p>
    <w:p w14:paraId="78723F48">
      <w:pPr>
        <w:spacing w:line="360" w:lineRule="auto"/>
        <w:ind w:firstLine="480" w:firstLineChars="200"/>
        <w:rPr>
          <w:rFonts w:cs="仿宋"/>
        </w:rPr>
      </w:pPr>
      <w:r>
        <w:rPr>
          <w:rFonts w:hint="eastAsia" w:cs="仿宋"/>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4B7695F7">
      <w:pPr>
        <w:pStyle w:val="59"/>
      </w:pPr>
      <w:bookmarkStart w:id="77" w:name="_Toc506105838"/>
      <w:bookmarkStart w:id="78" w:name="_Toc406766396"/>
      <w:bookmarkStart w:id="79" w:name="_Toc507936032"/>
      <w:r>
        <w:rPr>
          <w:rFonts w:hint="eastAsia"/>
        </w:rPr>
        <w:t xml:space="preserve">3.4 </w:t>
      </w:r>
      <w:bookmarkEnd w:id="77"/>
      <w:bookmarkEnd w:id="78"/>
      <w:bookmarkEnd w:id="79"/>
      <w:r>
        <w:rPr>
          <w:rFonts w:hint="eastAsia"/>
        </w:rPr>
        <w:t>投标保证金</w:t>
      </w:r>
    </w:p>
    <w:p w14:paraId="5FDCFAD1">
      <w:pPr>
        <w:spacing w:line="360" w:lineRule="auto"/>
        <w:ind w:firstLine="480" w:firstLineChars="200"/>
        <w:rPr>
          <w:rFonts w:cs="仿宋"/>
        </w:rPr>
      </w:pPr>
      <w:r>
        <w:rPr>
          <w:rFonts w:hint="eastAsia" w:cs="仿宋"/>
        </w:rPr>
        <w:t>3.4.1 投标人在递交投标文件的同时，应按招标公告规定的金额、担保形式递交投标保证金，并作为其投标文件的组成部分。详见投标人须知前附表。</w:t>
      </w:r>
    </w:p>
    <w:p w14:paraId="22502742">
      <w:pPr>
        <w:spacing w:line="360" w:lineRule="auto"/>
        <w:ind w:firstLine="480" w:firstLineChars="200"/>
        <w:rPr>
          <w:rFonts w:cs="仿宋"/>
        </w:rPr>
      </w:pPr>
      <w:r>
        <w:rPr>
          <w:rFonts w:hint="eastAsia" w:cs="仿宋"/>
        </w:rPr>
        <w:t>3.4.2 投标人不按本章第3.4.1项要求提交投标保证金的，其投标文件作无效。</w:t>
      </w:r>
    </w:p>
    <w:p w14:paraId="1646C896">
      <w:pPr>
        <w:spacing w:line="360" w:lineRule="auto"/>
        <w:ind w:firstLine="480" w:firstLineChars="200"/>
        <w:rPr>
          <w:rFonts w:cs="仿宋"/>
          <w:bCs/>
        </w:rPr>
      </w:pPr>
      <w:r>
        <w:rPr>
          <w:rFonts w:hint="eastAsia" w:cs="仿宋"/>
        </w:rPr>
        <w:t>3.4.3</w:t>
      </w:r>
      <w:r>
        <w:rPr>
          <w:rFonts w:hint="eastAsia" w:cs="仿宋"/>
          <w:bCs/>
        </w:rPr>
        <w:t xml:space="preserve"> </w:t>
      </w:r>
      <w:r>
        <w:rPr>
          <w:rFonts w:hint="eastAsia" w:cs="仿宋"/>
        </w:rPr>
        <w:t>招标人与中标人签订合同30日内</w:t>
      </w:r>
      <w:r>
        <w:rPr>
          <w:rFonts w:hint="eastAsia" w:cs="仿宋"/>
          <w:bCs/>
        </w:rPr>
        <w:t>，向未中标的</w:t>
      </w:r>
      <w:r>
        <w:rPr>
          <w:rFonts w:hint="eastAsia" w:cs="仿宋"/>
        </w:rPr>
        <w:t>投标人</w:t>
      </w:r>
      <w:r>
        <w:rPr>
          <w:rFonts w:hint="eastAsia" w:cs="仿宋"/>
          <w:bCs/>
        </w:rPr>
        <w:t>退还投标保证金。</w:t>
      </w:r>
    </w:p>
    <w:p w14:paraId="467283DB">
      <w:pPr>
        <w:spacing w:line="360" w:lineRule="auto"/>
        <w:ind w:firstLine="480" w:firstLineChars="200"/>
        <w:rPr>
          <w:rFonts w:cs="仿宋"/>
        </w:rPr>
      </w:pPr>
      <w:r>
        <w:rPr>
          <w:rFonts w:hint="eastAsia" w:cs="仿宋"/>
        </w:rPr>
        <w:t>3.4.4 有下列情形之一的，投标保证金将不予退还：</w:t>
      </w:r>
    </w:p>
    <w:p w14:paraId="0329125C">
      <w:pPr>
        <w:spacing w:line="360" w:lineRule="auto"/>
        <w:ind w:firstLine="480" w:firstLineChars="200"/>
        <w:rPr>
          <w:rFonts w:cs="仿宋"/>
        </w:rPr>
      </w:pPr>
      <w:r>
        <w:rPr>
          <w:rFonts w:hint="eastAsia" w:cs="仿宋"/>
        </w:rPr>
        <w:t>（1）投标人在规定的招标有效期内撤销或修改其投标文件；</w:t>
      </w:r>
    </w:p>
    <w:p w14:paraId="73D3A1EC">
      <w:pPr>
        <w:spacing w:line="360" w:lineRule="auto"/>
        <w:ind w:firstLine="480" w:firstLineChars="200"/>
        <w:rPr>
          <w:rFonts w:cs="仿宋"/>
        </w:rPr>
      </w:pPr>
      <w:r>
        <w:rPr>
          <w:rFonts w:hint="eastAsia" w:cs="仿宋"/>
        </w:rPr>
        <w:t>（2）中标人在收到中标通知书后，无正当理由拒签合同协议书或未按招标文件规定提交履约担保。</w:t>
      </w:r>
    </w:p>
    <w:p w14:paraId="482D2C14">
      <w:pPr>
        <w:pStyle w:val="59"/>
      </w:pPr>
      <w:bookmarkStart w:id="80" w:name="_Toc507936033"/>
      <w:bookmarkStart w:id="81" w:name="_Toc506105839"/>
      <w:r>
        <w:rPr>
          <w:rFonts w:hint="eastAsia"/>
        </w:rPr>
        <w:t>3.5 资格审查资料</w:t>
      </w:r>
      <w:bookmarkEnd w:id="80"/>
      <w:bookmarkEnd w:id="81"/>
    </w:p>
    <w:p w14:paraId="0707F7E7">
      <w:pPr>
        <w:spacing w:line="360" w:lineRule="auto"/>
        <w:ind w:firstLine="480" w:firstLineChars="200"/>
        <w:rPr>
          <w:rFonts w:cs="仿宋"/>
        </w:rPr>
      </w:pPr>
      <w:r>
        <w:rPr>
          <w:rFonts w:hint="eastAsia" w:cs="仿宋"/>
        </w:rPr>
        <w:t xml:space="preserve">3.5.1 </w:t>
      </w:r>
      <w:r>
        <w:rPr>
          <w:rFonts w:hint="eastAsia"/>
        </w:rPr>
        <w:t>营业执照、资质证书、体系认证、资信等级、人员资格证书、业绩合同、获奖证书</w:t>
      </w:r>
      <w:r>
        <w:rPr>
          <w:rFonts w:hint="eastAsia" w:cs="仿宋"/>
        </w:rPr>
        <w:t>等材料的复印件。</w:t>
      </w:r>
    </w:p>
    <w:p w14:paraId="2BA0EE1D">
      <w:pPr>
        <w:spacing w:line="360" w:lineRule="auto"/>
        <w:ind w:firstLine="480" w:firstLineChars="200"/>
        <w:rPr>
          <w:rFonts w:hint="eastAsia"/>
        </w:rPr>
      </w:pPr>
      <w:r>
        <w:rPr>
          <w:rFonts w:hint="eastAsia" w:cs="仿宋"/>
        </w:rPr>
        <w:t xml:space="preserve">3.5.2 </w:t>
      </w:r>
      <w:r>
        <w:rPr>
          <w:rFonts w:hint="eastAsia"/>
        </w:rPr>
        <w:t>近3年财务审计报告</w:t>
      </w:r>
    </w:p>
    <w:p w14:paraId="0D71C93E">
      <w:pPr>
        <w:spacing w:line="360" w:lineRule="auto"/>
        <w:ind w:firstLine="480" w:firstLineChars="200"/>
        <w:rPr>
          <w:rFonts w:hint="eastAsia" w:cs="仿宋"/>
        </w:rPr>
      </w:pPr>
      <w:r>
        <w:rPr>
          <w:rFonts w:hint="eastAsia" w:cs="仿宋"/>
        </w:rPr>
        <w:t>3.5.3“近3年完成的业绩情况表”具体要求详见商务部分</w:t>
      </w:r>
    </w:p>
    <w:p w14:paraId="3AFF024C">
      <w:pPr>
        <w:spacing w:line="360" w:lineRule="auto"/>
        <w:ind w:firstLine="480" w:firstLineChars="200"/>
        <w:rPr>
          <w:rFonts w:hint="eastAsia" w:cs="仿宋"/>
        </w:rPr>
      </w:pPr>
      <w:r>
        <w:rPr>
          <w:rFonts w:hint="eastAsia" w:cs="仿宋"/>
        </w:rPr>
        <w:t>3.5.4 “近3年发生的诉讼及仲裁情况”应说明相关情况，并附法院或仲裁机构作出的判决、裁决等有关法律文书复印件。</w:t>
      </w:r>
    </w:p>
    <w:p w14:paraId="1E16E22A">
      <w:pPr>
        <w:spacing w:line="360" w:lineRule="auto"/>
        <w:ind w:firstLine="480" w:firstLineChars="200"/>
        <w:rPr>
          <w:rFonts w:cs="仿宋"/>
        </w:rPr>
      </w:pPr>
      <w:r>
        <w:rPr>
          <w:rFonts w:hint="eastAsia" w:cs="仿宋"/>
        </w:rPr>
        <w:t>3.5.4认为有必要提供的其他证明文件。</w:t>
      </w:r>
    </w:p>
    <w:p w14:paraId="50AF6153">
      <w:pPr>
        <w:pStyle w:val="59"/>
        <w:rPr>
          <w:rFonts w:hint="eastAsia"/>
        </w:rPr>
      </w:pPr>
      <w:bookmarkStart w:id="82" w:name="_Toc506105840"/>
      <w:bookmarkStart w:id="83" w:name="_Toc507936034"/>
      <w:r>
        <w:rPr>
          <w:rFonts w:hint="eastAsia"/>
        </w:rPr>
        <w:t>3.6 备选投标方案</w:t>
      </w:r>
      <w:bookmarkEnd w:id="82"/>
      <w:bookmarkEnd w:id="83"/>
    </w:p>
    <w:p w14:paraId="43BF0745">
      <w:pPr>
        <w:spacing w:line="360" w:lineRule="auto"/>
        <w:ind w:firstLine="480" w:firstLineChars="200"/>
        <w:rPr>
          <w:rFonts w:hint="eastAsia" w:cs="仿宋"/>
        </w:rPr>
      </w:pPr>
      <w:r>
        <w:rPr>
          <w:rFonts w:hint="eastAsia" w:cs="仿宋"/>
        </w:rPr>
        <w:t>3.6.1本次招标不接受备选方案。</w:t>
      </w:r>
    </w:p>
    <w:p w14:paraId="37ACEA89">
      <w:pPr>
        <w:pStyle w:val="59"/>
      </w:pPr>
      <w:bookmarkStart w:id="84" w:name="_Toc506105841"/>
      <w:bookmarkStart w:id="85" w:name="_Toc507936035"/>
      <w:r>
        <w:rPr>
          <w:rFonts w:hint="eastAsia"/>
        </w:rPr>
        <w:t>3.7 投标文件的编制</w:t>
      </w:r>
      <w:bookmarkEnd w:id="84"/>
      <w:bookmarkEnd w:id="85"/>
    </w:p>
    <w:p w14:paraId="14CB468E">
      <w:pPr>
        <w:spacing w:line="360" w:lineRule="auto"/>
        <w:ind w:firstLine="480" w:firstLineChars="200"/>
        <w:rPr>
          <w:rFonts w:cs="仿宋"/>
        </w:rPr>
      </w:pPr>
      <w:r>
        <w:rPr>
          <w:rFonts w:hint="eastAsia" w:cs="仿宋"/>
        </w:rPr>
        <w:t>3.7.1投标文件应按《第五章投标文件格式及内容》要求进行编写。</w:t>
      </w:r>
    </w:p>
    <w:p w14:paraId="575EB866">
      <w:pPr>
        <w:spacing w:line="360" w:lineRule="auto"/>
        <w:ind w:firstLine="480" w:firstLineChars="200"/>
        <w:rPr>
          <w:rFonts w:cs="仿宋"/>
        </w:rPr>
      </w:pPr>
      <w:r>
        <w:rPr>
          <w:rFonts w:hint="eastAsia" w:cs="仿宋"/>
        </w:rPr>
        <w:t>3.7.2投标文件应当对招标文件有关交货期、投标有效期、质量要求、技术要求、招标范围等实质性内容作出响应。</w:t>
      </w:r>
    </w:p>
    <w:p w14:paraId="36376917">
      <w:pPr>
        <w:spacing w:line="360" w:lineRule="auto"/>
        <w:ind w:firstLine="480" w:firstLineChars="200"/>
        <w:rPr>
          <w:rFonts w:cs="仿宋"/>
        </w:rPr>
      </w:pPr>
      <w:r>
        <w:rPr>
          <w:rFonts w:hint="eastAsia" w:cs="仿宋"/>
        </w:rPr>
        <w:t>3.7.3投标文件应用不褪色的材料书写或打印，并由法定代表人或其委托代理人签字或盖公章。签字或盖章的具体要求见投标人须知前附表。</w:t>
      </w:r>
    </w:p>
    <w:p w14:paraId="6D9CE011">
      <w:pPr>
        <w:spacing w:line="360" w:lineRule="auto"/>
        <w:ind w:firstLine="480" w:firstLineChars="200"/>
        <w:rPr>
          <w:rFonts w:cs="仿宋"/>
        </w:rPr>
      </w:pPr>
      <w:r>
        <w:rPr>
          <w:rFonts w:hint="eastAsia" w:cs="仿宋"/>
        </w:rPr>
        <w:t>3.7.4投标文件正本壹份，副本</w:t>
      </w:r>
      <w:r>
        <w:rPr>
          <w:rFonts w:hint="eastAsia" w:cs="仿宋"/>
          <w:lang w:val="en-US" w:eastAsia="zh-CN"/>
        </w:rPr>
        <w:t>贰</w:t>
      </w:r>
      <w:r>
        <w:rPr>
          <w:rFonts w:hint="eastAsia" w:cs="仿宋"/>
        </w:rPr>
        <w:t>份。正本和副本的封面上应清楚地标记“正本”或“副本”的字样并加盖公章。当副本和正本不一致时，以正本为准。</w:t>
      </w:r>
    </w:p>
    <w:p w14:paraId="743521BF">
      <w:pPr>
        <w:spacing w:line="360" w:lineRule="auto"/>
        <w:ind w:firstLine="480" w:firstLineChars="200"/>
        <w:rPr>
          <w:rFonts w:cs="仿宋"/>
        </w:rPr>
      </w:pPr>
      <w:r>
        <w:rPr>
          <w:rFonts w:hint="eastAsia" w:cs="仿宋"/>
        </w:rPr>
        <w:t>3.7.5投标文件的正本与副本应分别装订成册，并编制目录，详见投标人须知前附表。</w:t>
      </w:r>
    </w:p>
    <w:p w14:paraId="64361D86">
      <w:pPr>
        <w:spacing w:line="360" w:lineRule="auto"/>
        <w:ind w:firstLine="480" w:firstLineChars="200"/>
        <w:rPr>
          <w:rFonts w:hint="eastAsia" w:cs="仿宋"/>
        </w:rPr>
      </w:pPr>
      <w:r>
        <w:rPr>
          <w:rFonts w:hint="eastAsia" w:cs="仿宋"/>
        </w:rPr>
        <w:t>3.7.6本次招标须提供应文件电子版（U盘一件），电子版与纸质版需一致，若不一致以纸质版为准。投标文件电子版文件格式为可编辑的Word“*.doc”、“*.docx”或Excel“*.xls”、“*.xlsx”，文字部分格式采用Word“*.doc”、“*.docx”，报价清单部分格式采用Excel“*.xls”、“*.xlsx”。</w:t>
      </w:r>
    </w:p>
    <w:p w14:paraId="146318B7">
      <w:pPr>
        <w:spacing w:line="360" w:lineRule="auto"/>
        <w:jc w:val="center"/>
        <w:rPr>
          <w:rStyle w:val="96"/>
          <w:rFonts w:hint="eastAsia"/>
        </w:rPr>
      </w:pPr>
      <w:r>
        <w:rPr>
          <w:rStyle w:val="96"/>
          <w:rFonts w:hint="eastAsia"/>
        </w:rPr>
        <w:t>4.投标</w:t>
      </w:r>
    </w:p>
    <w:p w14:paraId="04220EA1">
      <w:pPr>
        <w:pStyle w:val="59"/>
      </w:pPr>
      <w:bookmarkStart w:id="86" w:name="_Toc507936037"/>
      <w:bookmarkStart w:id="87" w:name="_Toc506105844"/>
      <w:r>
        <w:rPr>
          <w:rFonts w:hint="eastAsia"/>
        </w:rPr>
        <w:t>4.1 投标文件的递交</w:t>
      </w:r>
      <w:bookmarkEnd w:id="86"/>
      <w:bookmarkEnd w:id="87"/>
    </w:p>
    <w:p w14:paraId="004BA927">
      <w:pPr>
        <w:spacing w:line="360" w:lineRule="auto"/>
        <w:ind w:firstLine="480" w:firstLineChars="200"/>
        <w:rPr>
          <w:rFonts w:cs="仿宋"/>
        </w:rPr>
      </w:pPr>
      <w:r>
        <w:rPr>
          <w:rFonts w:hint="eastAsia" w:cs="仿宋"/>
        </w:rPr>
        <w:t>4.1.1递交投标文件的截止时间和地点，详见投标人须知前附表。</w:t>
      </w:r>
    </w:p>
    <w:p w14:paraId="645E4940">
      <w:pPr>
        <w:spacing w:line="360" w:lineRule="auto"/>
        <w:ind w:firstLine="480" w:firstLineChars="200"/>
        <w:rPr>
          <w:rFonts w:cs="仿宋"/>
        </w:rPr>
      </w:pPr>
      <w:r>
        <w:rPr>
          <w:rFonts w:hint="eastAsia" w:cs="仿宋"/>
        </w:rPr>
        <w:t>4.1.2除投标人须知前附表另有规定外，所递交的投标文件不予退还。</w:t>
      </w:r>
    </w:p>
    <w:p w14:paraId="3DE5270C">
      <w:pPr>
        <w:pStyle w:val="59"/>
      </w:pPr>
      <w:bookmarkStart w:id="88" w:name="_Toc507936038"/>
      <w:bookmarkStart w:id="89" w:name="_Toc506105845"/>
      <w:r>
        <w:rPr>
          <w:rFonts w:hint="eastAsia"/>
        </w:rPr>
        <w:t>4.2 投标文件的修改与撤回</w:t>
      </w:r>
      <w:bookmarkEnd w:id="88"/>
      <w:bookmarkEnd w:id="89"/>
    </w:p>
    <w:p w14:paraId="4C345419">
      <w:pPr>
        <w:spacing w:line="360" w:lineRule="auto"/>
        <w:ind w:firstLine="480" w:firstLineChars="200"/>
        <w:rPr>
          <w:rFonts w:cs="仿宋"/>
        </w:rPr>
      </w:pPr>
      <w:r>
        <w:rPr>
          <w:rFonts w:hint="eastAsia" w:cs="仿宋"/>
        </w:rPr>
        <w:t>4.2.1在递交投标文件截止时间前，投标人可以修改或撤回已递交的投标文件，但应以书面形式通知招标人。</w:t>
      </w:r>
    </w:p>
    <w:p w14:paraId="290E0C8E">
      <w:pPr>
        <w:spacing w:line="360" w:lineRule="auto"/>
        <w:ind w:firstLine="480" w:firstLineChars="200"/>
        <w:rPr>
          <w:rFonts w:cs="仿宋"/>
        </w:rPr>
      </w:pPr>
      <w:r>
        <w:rPr>
          <w:rFonts w:hint="eastAsia" w:cs="仿宋"/>
        </w:rPr>
        <w:t>4.2.2投标人修改或撤回已递交投标文件应按要求签字或盖章。</w:t>
      </w:r>
    </w:p>
    <w:p w14:paraId="7C5FF624">
      <w:pPr>
        <w:spacing w:line="360" w:lineRule="auto"/>
        <w:ind w:firstLine="480" w:firstLineChars="200"/>
        <w:rPr>
          <w:rFonts w:cs="仿宋"/>
        </w:rPr>
      </w:pPr>
      <w:r>
        <w:rPr>
          <w:rFonts w:hint="eastAsia" w:cs="仿宋"/>
        </w:rPr>
        <w:t>4.2.3修改的内容为投标文件的组成部分。修改的投标文件应按照本章第3条、第4条规定进行编制、密封、标记和递交，并标明“修改”字样。</w:t>
      </w:r>
    </w:p>
    <w:p w14:paraId="13327BB2">
      <w:pPr>
        <w:pStyle w:val="64"/>
        <w:rPr>
          <w:rStyle w:val="96"/>
          <w:rFonts w:hint="eastAsia"/>
          <w:b/>
          <w:bCs/>
        </w:rPr>
      </w:pPr>
      <w:bookmarkStart w:id="90" w:name="_Toc507936039"/>
      <w:bookmarkStart w:id="91" w:name="_Toc506105846"/>
      <w:r>
        <w:rPr>
          <w:rStyle w:val="96"/>
          <w:rFonts w:hint="eastAsia"/>
          <w:b/>
          <w:bCs/>
        </w:rPr>
        <w:t>5.</w:t>
      </w:r>
      <w:bookmarkEnd w:id="90"/>
      <w:bookmarkEnd w:id="91"/>
      <w:r>
        <w:rPr>
          <w:rStyle w:val="96"/>
          <w:rFonts w:hint="eastAsia"/>
          <w:b/>
          <w:bCs/>
        </w:rPr>
        <w:t>开标</w:t>
      </w:r>
    </w:p>
    <w:p w14:paraId="712A557F">
      <w:pPr>
        <w:pStyle w:val="59"/>
        <w:rPr>
          <w:rFonts w:hint="eastAsia"/>
        </w:rPr>
      </w:pPr>
      <w:bookmarkStart w:id="92" w:name="_Toc506105847"/>
      <w:bookmarkStart w:id="93" w:name="_Toc507936040"/>
      <w:r>
        <w:rPr>
          <w:rFonts w:hint="eastAsia"/>
        </w:rPr>
        <w:t xml:space="preserve">5.1 </w:t>
      </w:r>
      <w:bookmarkEnd w:id="92"/>
      <w:bookmarkEnd w:id="93"/>
      <w:bookmarkStart w:id="94" w:name="_Toc506105848"/>
      <w:r>
        <w:rPr>
          <w:rFonts w:hint="eastAsia"/>
        </w:rPr>
        <w:t>开标</w:t>
      </w:r>
    </w:p>
    <w:p w14:paraId="25FF4094">
      <w:pPr>
        <w:spacing w:line="360" w:lineRule="auto"/>
        <w:rPr>
          <w:rFonts w:hint="eastAsia" w:cs="仿宋"/>
        </w:rPr>
      </w:pPr>
      <w:r>
        <w:rPr>
          <w:rFonts w:hint="eastAsia" w:cs="仿宋"/>
        </w:rPr>
        <w:t>5.1.1</w:t>
      </w:r>
      <w:r>
        <w:rPr>
          <w:rFonts w:hint="eastAsia"/>
        </w:rPr>
        <w:t>开标时间和方式：</w:t>
      </w:r>
      <w:r>
        <w:rPr>
          <w:rFonts w:hint="eastAsia" w:cs="仿宋"/>
        </w:rPr>
        <w:t>详见投标人须知前附表。</w:t>
      </w:r>
    </w:p>
    <w:p w14:paraId="51C9CA46">
      <w:pPr>
        <w:spacing w:line="360" w:lineRule="auto"/>
        <w:rPr>
          <w:rFonts w:hint="eastAsia" w:cs="仿宋"/>
        </w:rPr>
      </w:pPr>
      <w:r>
        <w:rPr>
          <w:rFonts w:hint="eastAsia" w:cs="仿宋"/>
        </w:rPr>
        <w:t>5.1.2</w:t>
      </w:r>
      <w:r>
        <w:rPr>
          <w:rFonts w:hint="eastAsia"/>
        </w:rPr>
        <w:t>投标人证件及业绩的提交：</w:t>
      </w:r>
      <w:r>
        <w:rPr>
          <w:rFonts w:hint="eastAsia" w:cs="仿宋"/>
        </w:rPr>
        <w:t>详见投标人须知前附表。</w:t>
      </w:r>
    </w:p>
    <w:p w14:paraId="1B03CE9D">
      <w:pPr>
        <w:spacing w:line="360" w:lineRule="auto"/>
        <w:rPr>
          <w:rFonts w:hint="eastAsia" w:cs="仿宋"/>
        </w:rPr>
      </w:pPr>
      <w:r>
        <w:rPr>
          <w:rFonts w:hint="eastAsia" w:cs="仿宋"/>
        </w:rPr>
        <w:t>5.1.3</w:t>
      </w:r>
      <w:r>
        <w:rPr>
          <w:rFonts w:hint="eastAsia"/>
        </w:rPr>
        <w:t>开标时投标人需要携带的证件：</w:t>
      </w:r>
      <w:r>
        <w:rPr>
          <w:rFonts w:hint="eastAsia" w:cs="仿宋"/>
        </w:rPr>
        <w:t>详见投标人须知前附表。</w:t>
      </w:r>
    </w:p>
    <w:bookmarkEnd w:id="94"/>
    <w:p w14:paraId="2365F628">
      <w:pPr>
        <w:pStyle w:val="64"/>
        <w:rPr>
          <w:rStyle w:val="96"/>
          <w:rFonts w:hint="eastAsia"/>
          <w:b/>
          <w:bCs/>
        </w:rPr>
      </w:pPr>
      <w:bookmarkStart w:id="95" w:name="_Toc507936041"/>
      <w:bookmarkStart w:id="96" w:name="_Toc506105849"/>
      <w:r>
        <w:rPr>
          <w:rStyle w:val="96"/>
          <w:rFonts w:hint="eastAsia"/>
          <w:b/>
          <w:bCs/>
        </w:rPr>
        <w:t>6.</w:t>
      </w:r>
      <w:bookmarkEnd w:id="95"/>
      <w:bookmarkEnd w:id="96"/>
      <w:r>
        <w:rPr>
          <w:rStyle w:val="96"/>
          <w:rFonts w:hint="eastAsia"/>
          <w:b/>
          <w:bCs/>
        </w:rPr>
        <w:t>评标</w:t>
      </w:r>
    </w:p>
    <w:p w14:paraId="2CFD3288">
      <w:pPr>
        <w:pStyle w:val="59"/>
      </w:pPr>
      <w:bookmarkStart w:id="97" w:name="_Toc507936042"/>
      <w:bookmarkStart w:id="98" w:name="_Toc506105850"/>
      <w:r>
        <w:rPr>
          <w:rFonts w:hint="eastAsia"/>
        </w:rPr>
        <w:t>6.1 评标委员会</w:t>
      </w:r>
      <w:bookmarkEnd w:id="97"/>
      <w:bookmarkEnd w:id="98"/>
    </w:p>
    <w:p w14:paraId="1DBB915B">
      <w:pPr>
        <w:spacing w:line="360" w:lineRule="auto"/>
        <w:ind w:firstLine="480" w:firstLineChars="200"/>
        <w:rPr>
          <w:rFonts w:cs="仿宋"/>
        </w:rPr>
      </w:pPr>
      <w:r>
        <w:rPr>
          <w:rFonts w:hint="eastAsia" w:cs="仿宋"/>
        </w:rPr>
        <w:t>评标由招标人依法组建的评标委员会负责。评标委员会由招标人熟悉相关业务的代表，以及有关技术、经济等方面的专家组成，评标委员会成员人数为5人及以上单数。</w:t>
      </w:r>
    </w:p>
    <w:p w14:paraId="7ED38F77">
      <w:pPr>
        <w:pStyle w:val="59"/>
      </w:pPr>
      <w:bookmarkStart w:id="99" w:name="_Toc507936043"/>
      <w:bookmarkStart w:id="100" w:name="_Toc506105851"/>
      <w:r>
        <w:rPr>
          <w:rFonts w:hint="eastAsia"/>
        </w:rPr>
        <w:t>6.2 评标原则</w:t>
      </w:r>
      <w:bookmarkEnd w:id="99"/>
      <w:bookmarkEnd w:id="100"/>
    </w:p>
    <w:p w14:paraId="5DDF9352">
      <w:pPr>
        <w:pStyle w:val="57"/>
        <w:spacing w:before="156"/>
        <w:jc w:val="both"/>
        <w:rPr>
          <w:rFonts w:hint="eastAsia" w:ascii="宋体" w:hAnsi="宋体" w:eastAsia="宋体" w:cs="仿宋"/>
          <w:b w:val="0"/>
          <w:kern w:val="0"/>
          <w:sz w:val="24"/>
          <w:szCs w:val="24"/>
        </w:rPr>
      </w:pPr>
      <w:r>
        <w:rPr>
          <w:rFonts w:hint="eastAsia" w:ascii="宋体" w:hAnsi="宋体" w:eastAsia="宋体" w:cs="仿宋"/>
          <w:b w:val="0"/>
          <w:kern w:val="0"/>
          <w:sz w:val="24"/>
          <w:szCs w:val="24"/>
        </w:rPr>
        <w:t>评标活动遵循公平、公正、科学和择优的原则。</w:t>
      </w:r>
    </w:p>
    <w:p w14:paraId="5CC2DFCA">
      <w:pPr>
        <w:pStyle w:val="59"/>
      </w:pPr>
      <w:bookmarkStart w:id="101" w:name="_Toc507936044"/>
      <w:bookmarkStart w:id="102" w:name="_Toc506105852"/>
      <w:r>
        <w:rPr>
          <w:rFonts w:hint="eastAsia"/>
        </w:rPr>
        <w:t>6.3 评标方法</w:t>
      </w:r>
      <w:bookmarkEnd w:id="101"/>
      <w:bookmarkEnd w:id="102"/>
    </w:p>
    <w:p w14:paraId="6B37B937">
      <w:pPr>
        <w:pStyle w:val="57"/>
        <w:spacing w:before="156"/>
        <w:jc w:val="both"/>
        <w:rPr>
          <w:rFonts w:hint="eastAsia" w:ascii="宋体" w:hAnsi="宋体" w:eastAsia="宋体" w:cs="仿宋"/>
          <w:b w:val="0"/>
          <w:kern w:val="0"/>
          <w:sz w:val="24"/>
          <w:szCs w:val="24"/>
        </w:rPr>
      </w:pPr>
      <w:bookmarkStart w:id="103" w:name="_Toc506886218"/>
      <w:r>
        <w:rPr>
          <w:rFonts w:hint="eastAsia" w:ascii="宋体" w:hAnsi="宋体" w:eastAsia="宋体" w:cs="仿宋"/>
          <w:b w:val="0"/>
          <w:kern w:val="0"/>
          <w:sz w:val="24"/>
          <w:szCs w:val="24"/>
        </w:rPr>
        <w:t xml:space="preserve">    按综合评标法进行评标。</w:t>
      </w:r>
      <w:bookmarkEnd w:id="103"/>
    </w:p>
    <w:p w14:paraId="7D0B7831">
      <w:pPr>
        <w:pStyle w:val="59"/>
      </w:pPr>
      <w:bookmarkStart w:id="104" w:name="_Toc507936045"/>
      <w:bookmarkStart w:id="105" w:name="_Toc506105853"/>
      <w:r>
        <w:rPr>
          <w:rFonts w:hint="eastAsia"/>
        </w:rPr>
        <w:t>6.4 评标程序及内容</w:t>
      </w:r>
      <w:bookmarkEnd w:id="104"/>
      <w:bookmarkEnd w:id="105"/>
    </w:p>
    <w:p w14:paraId="13D49B6F">
      <w:pPr>
        <w:spacing w:line="360" w:lineRule="auto"/>
        <w:ind w:firstLine="480" w:firstLineChars="200"/>
        <w:rPr>
          <w:rFonts w:hint="eastAsia" w:cs="仿宋"/>
        </w:rPr>
      </w:pPr>
      <w:r>
        <w:rPr>
          <w:rFonts w:hint="eastAsia" w:cs="仿宋"/>
        </w:rPr>
        <w:t>6.4.1投标文件初步评标</w:t>
      </w:r>
    </w:p>
    <w:p w14:paraId="0D13B17E">
      <w:pPr>
        <w:spacing w:line="360" w:lineRule="auto"/>
        <w:ind w:firstLine="480" w:firstLineChars="200"/>
        <w:rPr>
          <w:rFonts w:cs="仿宋"/>
        </w:rPr>
      </w:pPr>
      <w:r>
        <w:rPr>
          <w:rFonts w:hint="eastAsia" w:cs="仿宋"/>
        </w:rPr>
        <w:t>6.4.1.1资格审查---是否满足对投标人的资格要求。</w:t>
      </w:r>
    </w:p>
    <w:p w14:paraId="3418B009">
      <w:pPr>
        <w:spacing w:line="360" w:lineRule="auto"/>
        <w:ind w:firstLine="480" w:firstLineChars="200"/>
        <w:rPr>
          <w:rFonts w:cs="仿宋"/>
        </w:rPr>
      </w:pPr>
      <w:r>
        <w:rPr>
          <w:rFonts w:hint="eastAsia" w:cs="仿宋"/>
        </w:rPr>
        <w:t>6.4.1.2报价及报价组成表有计算或汇总错误时，按以下原则修正：</w:t>
      </w:r>
    </w:p>
    <w:p w14:paraId="60620CC2">
      <w:pPr>
        <w:spacing w:line="360" w:lineRule="auto"/>
        <w:ind w:firstLine="480" w:firstLineChars="200"/>
        <w:rPr>
          <w:rFonts w:cs="仿宋"/>
        </w:rPr>
      </w:pPr>
      <w:r>
        <w:rPr>
          <w:rFonts w:hint="eastAsia" w:cs="仿宋"/>
        </w:rPr>
        <w:t>（1）报价清单中的单价乘数量的乘积与该项目的合价不符时，应以单价为准，改正合价。</w:t>
      </w:r>
    </w:p>
    <w:p w14:paraId="3BA66059">
      <w:pPr>
        <w:spacing w:line="360" w:lineRule="auto"/>
        <w:ind w:firstLine="480" w:firstLineChars="200"/>
        <w:rPr>
          <w:rFonts w:cs="仿宋"/>
        </w:rPr>
      </w:pPr>
      <w:r>
        <w:rPr>
          <w:rFonts w:hint="eastAsia" w:cs="仿宋"/>
        </w:rPr>
        <w:t>（2）若报价汇总表中的金额与相应的各分项报价清单中的合计金额不符时，以修正后的各分项报价清单中的合计金额为准，改正总报价。</w:t>
      </w:r>
    </w:p>
    <w:p w14:paraId="456AFF19">
      <w:pPr>
        <w:spacing w:line="360" w:lineRule="auto"/>
        <w:ind w:firstLine="480" w:firstLineChars="200"/>
        <w:rPr>
          <w:rFonts w:cs="仿宋"/>
        </w:rPr>
      </w:pPr>
      <w:r>
        <w:rPr>
          <w:rFonts w:hint="eastAsia" w:cs="仿宋"/>
        </w:rPr>
        <w:t>（3）评标委员会按以上原则对报价进行修正，修正的价格经投标人书面确认后具有约束力。</w:t>
      </w:r>
    </w:p>
    <w:p w14:paraId="7AEC6BA0">
      <w:pPr>
        <w:spacing w:line="360" w:lineRule="auto"/>
        <w:ind w:firstLine="480" w:firstLineChars="200"/>
        <w:rPr>
          <w:rFonts w:cs="仿宋"/>
        </w:rPr>
      </w:pPr>
      <w:r>
        <w:rPr>
          <w:rFonts w:hint="eastAsia" w:cs="仿宋"/>
        </w:rPr>
        <w:t>6.4.1.3对需要文件进行审查，有以下情形之一的，为重大偏差，其投标文件符合性审查不通过</w:t>
      </w:r>
      <w:r>
        <w:rPr>
          <w:rFonts w:hint="eastAsia" w:cs="仿宋"/>
          <w:bCs/>
        </w:rPr>
        <w:t>作无效处理</w:t>
      </w:r>
      <w:r>
        <w:rPr>
          <w:rFonts w:hint="eastAsia" w:cs="仿宋"/>
        </w:rPr>
        <w:t>，不再进行详细评标：</w:t>
      </w:r>
    </w:p>
    <w:p w14:paraId="17BBF1F8">
      <w:pPr>
        <w:spacing w:line="360" w:lineRule="auto"/>
        <w:ind w:firstLine="480" w:firstLineChars="200"/>
        <w:rPr>
          <w:rFonts w:cs="仿宋"/>
          <w:bCs/>
        </w:rPr>
      </w:pPr>
      <w:r>
        <w:rPr>
          <w:rFonts w:hint="eastAsia" w:cs="仿宋"/>
          <w:bCs/>
        </w:rPr>
        <w:t>（1）提供的资格审查资料不满足招标文件要求的；</w:t>
      </w:r>
    </w:p>
    <w:p w14:paraId="0427F5D3">
      <w:pPr>
        <w:spacing w:line="360" w:lineRule="auto"/>
        <w:ind w:firstLine="480" w:firstLineChars="200"/>
        <w:rPr>
          <w:rFonts w:cs="仿宋"/>
          <w:bCs/>
        </w:rPr>
      </w:pPr>
      <w:r>
        <w:rPr>
          <w:rFonts w:hint="eastAsia" w:cs="仿宋"/>
          <w:bCs/>
        </w:rPr>
        <w:t>（2）没有按照招标文件要求缴纳投标保证金或提供银行保函的；</w:t>
      </w:r>
    </w:p>
    <w:p w14:paraId="4DDDDAED">
      <w:pPr>
        <w:spacing w:line="360" w:lineRule="auto"/>
        <w:ind w:firstLine="480" w:firstLineChars="200"/>
        <w:rPr>
          <w:rFonts w:cs="仿宋"/>
          <w:bCs/>
        </w:rPr>
      </w:pPr>
      <w:r>
        <w:rPr>
          <w:rFonts w:hint="eastAsia" w:cs="仿宋"/>
          <w:bCs/>
        </w:rPr>
        <w:t>（3）投标文件未按招标文件要求盖章和签署的；</w:t>
      </w:r>
    </w:p>
    <w:p w14:paraId="59BDFA6F">
      <w:pPr>
        <w:spacing w:line="360" w:lineRule="auto"/>
        <w:ind w:firstLine="480" w:firstLineChars="200"/>
        <w:rPr>
          <w:rFonts w:cs="仿宋"/>
          <w:bCs/>
        </w:rPr>
      </w:pPr>
      <w:r>
        <w:rPr>
          <w:rFonts w:hint="eastAsia" w:cs="仿宋"/>
          <w:bCs/>
        </w:rPr>
        <w:t>（4）经澄清，对报价的错误不接受修正的；</w:t>
      </w:r>
    </w:p>
    <w:p w14:paraId="79AA1919">
      <w:pPr>
        <w:spacing w:line="360" w:lineRule="auto"/>
        <w:ind w:firstLine="480" w:firstLineChars="200"/>
        <w:rPr>
          <w:rFonts w:cs="仿宋"/>
          <w:bCs/>
        </w:rPr>
      </w:pPr>
      <w:r>
        <w:rPr>
          <w:rFonts w:hint="eastAsia" w:cs="仿宋"/>
          <w:bCs/>
        </w:rPr>
        <w:t>（5）对招标范围和工作内容有实质性偏差的；</w:t>
      </w:r>
    </w:p>
    <w:p w14:paraId="4007E935">
      <w:pPr>
        <w:spacing w:line="360" w:lineRule="auto"/>
        <w:ind w:firstLine="480" w:firstLineChars="200"/>
        <w:rPr>
          <w:rFonts w:cs="仿宋"/>
          <w:bCs/>
        </w:rPr>
      </w:pPr>
      <w:r>
        <w:rPr>
          <w:rFonts w:hint="eastAsia" w:cs="仿宋"/>
          <w:bCs/>
        </w:rPr>
        <w:t>（6）主要性能指标达不到招标文件要求的</w:t>
      </w:r>
    </w:p>
    <w:p w14:paraId="7EBEBFD0">
      <w:pPr>
        <w:spacing w:line="360" w:lineRule="auto"/>
        <w:ind w:firstLine="480" w:firstLineChars="200"/>
        <w:rPr>
          <w:rFonts w:cs="仿宋"/>
          <w:bCs/>
        </w:rPr>
      </w:pPr>
      <w:r>
        <w:rPr>
          <w:rFonts w:hint="eastAsia" w:cs="仿宋"/>
          <w:bCs/>
        </w:rPr>
        <w:t>（7））有违反法律法规、弄虚作假的。</w:t>
      </w:r>
    </w:p>
    <w:p w14:paraId="08FF38C0">
      <w:pPr>
        <w:spacing w:line="360" w:lineRule="auto"/>
        <w:ind w:firstLine="480" w:firstLineChars="200"/>
        <w:rPr>
          <w:rFonts w:cs="仿宋"/>
        </w:rPr>
      </w:pPr>
      <w:r>
        <w:rPr>
          <w:rFonts w:hint="eastAsia" w:cs="仿宋"/>
        </w:rPr>
        <w:t>6.4.1.4投标文件澄清</w:t>
      </w:r>
    </w:p>
    <w:p w14:paraId="130CD979">
      <w:pPr>
        <w:spacing w:line="360" w:lineRule="auto"/>
        <w:ind w:firstLine="480" w:firstLineChars="200"/>
        <w:rPr>
          <w:rFonts w:cs="仿宋"/>
        </w:rPr>
      </w:pPr>
      <w:r>
        <w:rPr>
          <w:rFonts w:hint="eastAsia" w:cs="仿宋"/>
        </w:rPr>
        <w:t>（1）投标文件中有含义不明确的内容、明显文字或者计算错误，评标委员会认为需要投标人做出必要的澄清、说明、或者对细微偏差进行补正的，提出澄清问题。</w:t>
      </w:r>
    </w:p>
    <w:p w14:paraId="269174A0">
      <w:pPr>
        <w:spacing w:line="360" w:lineRule="auto"/>
        <w:ind w:firstLine="480" w:firstLineChars="200"/>
        <w:rPr>
          <w:rFonts w:cs="仿宋"/>
        </w:rPr>
      </w:pPr>
      <w:r>
        <w:rPr>
          <w:rFonts w:hint="eastAsia" w:cs="仿宋"/>
        </w:rPr>
        <w:t>（2）评标委员会的澄清问题不得要求或提出对投标文件实质性内容进行修改，澄清问题由评标委员会主任确认后发出。</w:t>
      </w:r>
    </w:p>
    <w:p w14:paraId="2CEF531F">
      <w:pPr>
        <w:spacing w:line="360" w:lineRule="auto"/>
        <w:ind w:firstLine="480" w:firstLineChars="200"/>
        <w:rPr>
          <w:rFonts w:cs="仿宋"/>
        </w:rPr>
      </w:pPr>
      <w:r>
        <w:rPr>
          <w:rFonts w:hint="eastAsia" w:cs="仿宋"/>
        </w:rPr>
        <w:t>（3）投标人的答复由其授权代表签字、加盖公章、签署日期后按要求发送，不得对原投标文件实质性内容进行修改，投标人的书面澄清、说明和补正属于投标文件的组成部分。</w:t>
      </w:r>
    </w:p>
    <w:p w14:paraId="152704AC">
      <w:pPr>
        <w:spacing w:line="360" w:lineRule="auto"/>
        <w:ind w:firstLine="480" w:firstLineChars="200"/>
        <w:rPr>
          <w:rFonts w:cs="仿宋"/>
        </w:rPr>
      </w:pPr>
      <w:r>
        <w:rPr>
          <w:rFonts w:hint="eastAsia" w:cs="仿宋"/>
        </w:rPr>
        <w:t>（4）评标委员会不接受投标人主动提出的澄清、说明。</w:t>
      </w:r>
    </w:p>
    <w:p w14:paraId="06DA0CEB">
      <w:pPr>
        <w:spacing w:line="360" w:lineRule="auto"/>
        <w:ind w:firstLine="480" w:firstLineChars="200"/>
        <w:rPr>
          <w:rFonts w:cs="仿宋"/>
        </w:rPr>
      </w:pPr>
      <w:r>
        <w:rPr>
          <w:rFonts w:hint="eastAsia" w:cs="仿宋"/>
        </w:rPr>
        <w:t>（5）评标委员会的澄清问题和投标人的答复均以书面方式进行。</w:t>
      </w:r>
    </w:p>
    <w:p w14:paraId="2CEDFDCF">
      <w:pPr>
        <w:spacing w:line="360" w:lineRule="auto"/>
        <w:ind w:firstLine="480" w:firstLineChars="200"/>
        <w:rPr>
          <w:rFonts w:hint="eastAsia" w:cs="仿宋"/>
        </w:rPr>
      </w:pPr>
      <w:r>
        <w:rPr>
          <w:rFonts w:hint="eastAsia" w:cs="仿宋"/>
        </w:rPr>
        <w:t>6.4.2投标文件详细评标</w:t>
      </w:r>
    </w:p>
    <w:p w14:paraId="6C703091">
      <w:pPr>
        <w:spacing w:line="360" w:lineRule="auto"/>
        <w:ind w:firstLine="480" w:firstLineChars="200"/>
        <w:rPr>
          <w:rFonts w:cs="仿宋"/>
        </w:rPr>
      </w:pPr>
      <w:r>
        <w:rPr>
          <w:rFonts w:hint="eastAsia" w:cs="仿宋"/>
        </w:rPr>
        <w:t>评标委员会成员对通过初步评标的投标文件进行详细评标与打分排序。</w:t>
      </w:r>
    </w:p>
    <w:p w14:paraId="582978A4">
      <w:pPr>
        <w:spacing w:line="360" w:lineRule="auto"/>
        <w:ind w:firstLine="480" w:firstLineChars="200"/>
        <w:rPr>
          <w:rFonts w:cs="仿宋"/>
        </w:rPr>
      </w:pPr>
      <w:r>
        <w:rPr>
          <w:rFonts w:hint="eastAsia" w:cs="仿宋"/>
        </w:rPr>
        <w:t>6.4.3评标结果</w:t>
      </w:r>
    </w:p>
    <w:p w14:paraId="3D1FB223">
      <w:pPr>
        <w:spacing w:line="360" w:lineRule="auto"/>
        <w:ind w:firstLine="480" w:firstLineChars="200"/>
        <w:rPr>
          <w:rFonts w:cs="仿宋"/>
        </w:rPr>
      </w:pPr>
      <w:r>
        <w:rPr>
          <w:rFonts w:hint="eastAsia" w:cs="仿宋"/>
        </w:rPr>
        <w:t>6.4.3.1评标委员会按照评标办法推荐中标候选人，具体的中标候选人数量见第三章5节2款。</w:t>
      </w:r>
    </w:p>
    <w:p w14:paraId="48CF1F15">
      <w:pPr>
        <w:spacing w:line="360" w:lineRule="auto"/>
        <w:ind w:firstLine="480" w:firstLineChars="200"/>
        <w:rPr>
          <w:rFonts w:cs="仿宋"/>
        </w:rPr>
      </w:pPr>
      <w:r>
        <w:rPr>
          <w:rFonts w:hint="eastAsia" w:cs="仿宋"/>
        </w:rPr>
        <w:t>6.4.3.2评标委员会完成评标后，向招标人提交评标报告。</w:t>
      </w:r>
    </w:p>
    <w:p w14:paraId="2737AEE0">
      <w:pPr>
        <w:pStyle w:val="64"/>
        <w:rPr>
          <w:rStyle w:val="96"/>
          <w:b/>
          <w:bCs/>
        </w:rPr>
      </w:pPr>
      <w:bookmarkStart w:id="106" w:name="_Toc506105854"/>
      <w:bookmarkStart w:id="107" w:name="_Toc507936046"/>
      <w:r>
        <w:rPr>
          <w:rStyle w:val="96"/>
          <w:rFonts w:hint="eastAsia"/>
          <w:b/>
          <w:bCs/>
        </w:rPr>
        <w:t>7.合同授予</w:t>
      </w:r>
      <w:bookmarkEnd w:id="106"/>
      <w:bookmarkEnd w:id="107"/>
    </w:p>
    <w:p w14:paraId="112A98D1">
      <w:pPr>
        <w:spacing w:line="360" w:lineRule="auto"/>
        <w:ind w:firstLine="480" w:firstLineChars="200"/>
        <w:rPr>
          <w:rFonts w:hint="eastAsia" w:cs="仿宋"/>
        </w:rPr>
      </w:pPr>
      <w:r>
        <w:rPr>
          <w:rFonts w:hint="eastAsia" w:cs="仿宋"/>
        </w:rPr>
        <w:t>7.1中标候选人履约能力审查</w:t>
      </w:r>
    </w:p>
    <w:p w14:paraId="5952444C">
      <w:pPr>
        <w:spacing w:line="360" w:lineRule="auto"/>
        <w:ind w:firstLine="480" w:firstLineChars="200"/>
        <w:rPr>
          <w:rFonts w:hint="eastAsia" w:cs="仿宋"/>
        </w:rPr>
      </w:pPr>
      <w:r>
        <w:rPr>
          <w:rFonts w:hint="eastAsia" w:cs="仿宋"/>
        </w:rPr>
        <w:t>中标候选人的经营、财务状况发生较大变化或存在违法行为，招标人认为可能影响其履约能力的，将在发出中标通知书前提请原评标委员会按照招标文件规定的标准和方法进行审查确认。</w:t>
      </w:r>
    </w:p>
    <w:p w14:paraId="0083949A">
      <w:pPr>
        <w:spacing w:line="360" w:lineRule="auto"/>
        <w:ind w:firstLine="480" w:firstLineChars="200"/>
        <w:rPr>
          <w:rFonts w:hint="eastAsia" w:cs="仿宋"/>
        </w:rPr>
      </w:pPr>
      <w:r>
        <w:rPr>
          <w:rFonts w:hint="eastAsia" w:cs="仿宋"/>
        </w:rPr>
        <w:t>7.2评标结果异议</w:t>
      </w:r>
    </w:p>
    <w:p w14:paraId="77411E4C">
      <w:pPr>
        <w:spacing w:line="360" w:lineRule="auto"/>
        <w:ind w:firstLine="480" w:firstLineChars="200"/>
        <w:rPr>
          <w:rFonts w:hint="eastAsia" w:cs="仿宋"/>
        </w:rPr>
      </w:pPr>
      <w:r>
        <w:rPr>
          <w:rFonts w:hint="eastAsia" w:cs="仿宋"/>
        </w:rPr>
        <w:t>投标人或者其他利害关系人对评标结果有异议的，应当在中标候选人公示期间提出。招标人将在收到异议之日起3日内作出答复。</w:t>
      </w:r>
    </w:p>
    <w:p w14:paraId="774D9F90">
      <w:pPr>
        <w:spacing w:line="360" w:lineRule="auto"/>
        <w:ind w:firstLine="480" w:firstLineChars="200"/>
        <w:rPr>
          <w:rFonts w:hint="eastAsia" w:cs="仿宋"/>
        </w:rPr>
      </w:pPr>
      <w:r>
        <w:rPr>
          <w:rFonts w:hint="eastAsia" w:cs="仿宋"/>
        </w:rPr>
        <w:t>7.3定标</w:t>
      </w:r>
    </w:p>
    <w:p w14:paraId="29EEE94A">
      <w:pPr>
        <w:spacing w:line="360" w:lineRule="auto"/>
        <w:ind w:firstLine="480" w:firstLineChars="200"/>
        <w:rPr>
          <w:rFonts w:hint="eastAsia" w:cs="仿宋"/>
        </w:rPr>
      </w:pPr>
      <w:r>
        <w:rPr>
          <w:rFonts w:hint="eastAsia" w:cs="仿宋"/>
        </w:rPr>
        <w:t>按照投标人须知前附表的规定，招标人或招标人授权的评标委员会依法确定中标人。</w:t>
      </w:r>
    </w:p>
    <w:p w14:paraId="6DC220D8">
      <w:pPr>
        <w:spacing w:line="360" w:lineRule="auto"/>
        <w:ind w:firstLine="480" w:firstLineChars="200"/>
        <w:rPr>
          <w:rFonts w:hint="eastAsia" w:cs="仿宋"/>
        </w:rPr>
      </w:pPr>
      <w:r>
        <w:rPr>
          <w:rFonts w:hint="eastAsia" w:cs="仿宋"/>
        </w:rPr>
        <w:t>7.4中标通知</w:t>
      </w:r>
    </w:p>
    <w:p w14:paraId="499E21C1">
      <w:pPr>
        <w:spacing w:line="360" w:lineRule="auto"/>
        <w:ind w:firstLine="480" w:firstLineChars="200"/>
        <w:rPr>
          <w:rFonts w:hint="eastAsia" w:cs="仿宋"/>
        </w:rPr>
      </w:pPr>
      <w:r>
        <w:rPr>
          <w:rFonts w:hint="eastAsia" w:cs="仿宋"/>
        </w:rPr>
        <w:t>在本章第3.3款规定的投标有效期内，中标结果通过</w:t>
      </w:r>
      <w:r>
        <w:rPr>
          <w:rFonts w:hint="eastAsia"/>
        </w:rPr>
        <w:t>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r>
        <w:rPr>
          <w:rFonts w:hint="eastAsia" w:cs="仿宋"/>
        </w:rPr>
        <w:t>公示三天。公示期结束后，招标人以书面形式向中标人发出中标通知书。</w:t>
      </w:r>
    </w:p>
    <w:p w14:paraId="14239F13">
      <w:pPr>
        <w:spacing w:line="360" w:lineRule="auto"/>
        <w:ind w:firstLine="480" w:firstLineChars="200"/>
        <w:rPr>
          <w:rFonts w:hint="eastAsia" w:cs="仿宋"/>
        </w:rPr>
      </w:pPr>
      <w:r>
        <w:rPr>
          <w:rFonts w:hint="eastAsia" w:cs="仿宋"/>
        </w:rPr>
        <w:t>7.5履约保证金</w:t>
      </w:r>
    </w:p>
    <w:p w14:paraId="45E30A92">
      <w:pPr>
        <w:spacing w:line="360" w:lineRule="auto"/>
        <w:ind w:firstLine="480" w:firstLineChars="200"/>
        <w:rPr>
          <w:rFonts w:hint="eastAsia" w:cs="仿宋"/>
        </w:rPr>
      </w:pPr>
      <w:r>
        <w:rPr>
          <w:rFonts w:hint="eastAsia" w:cs="仿宋"/>
        </w:rPr>
        <w:t>7.5.1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5D47233E">
      <w:pPr>
        <w:spacing w:line="360" w:lineRule="auto"/>
        <w:ind w:firstLine="480" w:firstLineChars="200"/>
        <w:rPr>
          <w:rFonts w:hint="eastAsia" w:cs="仿宋"/>
        </w:rPr>
      </w:pPr>
      <w:r>
        <w:rPr>
          <w:rFonts w:hint="eastAsia" w:cs="仿宋"/>
        </w:rPr>
        <w:t>7.5.2中标人不能按本章第7.5.1项要求提交履约保证金的，视为放弃中标，其投标保证金不予退还，给招标人造成的损失超过投标保证金数额的，中标人还应当对超过部分予以赔偿。</w:t>
      </w:r>
    </w:p>
    <w:p w14:paraId="73CA813D">
      <w:pPr>
        <w:spacing w:line="360" w:lineRule="auto"/>
        <w:ind w:firstLine="480" w:firstLineChars="200"/>
        <w:rPr>
          <w:rFonts w:hint="eastAsia" w:cs="仿宋"/>
        </w:rPr>
      </w:pPr>
      <w:r>
        <w:rPr>
          <w:rFonts w:hint="eastAsia" w:cs="仿宋"/>
        </w:rPr>
        <w:t>7.6 中标服务费：见投标人须知前附表。</w:t>
      </w:r>
    </w:p>
    <w:p w14:paraId="2A8ED1CE">
      <w:pPr>
        <w:spacing w:line="360" w:lineRule="auto"/>
        <w:ind w:firstLine="480" w:firstLineChars="200"/>
        <w:rPr>
          <w:rFonts w:hint="eastAsia" w:cs="仿宋"/>
        </w:rPr>
      </w:pPr>
      <w:r>
        <w:rPr>
          <w:rFonts w:hint="eastAsia" w:cs="仿宋"/>
        </w:rPr>
        <w:t>7.7签订合同</w:t>
      </w:r>
    </w:p>
    <w:p w14:paraId="2FCC65CC">
      <w:pPr>
        <w:spacing w:line="360" w:lineRule="auto"/>
        <w:ind w:firstLine="480" w:firstLineChars="200"/>
        <w:rPr>
          <w:rFonts w:hint="eastAsia" w:cs="仿宋"/>
        </w:rPr>
      </w:pPr>
      <w:r>
        <w:rPr>
          <w:rFonts w:hint="eastAsia" w:cs="仿宋"/>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655D57A">
      <w:pPr>
        <w:spacing w:line="360" w:lineRule="auto"/>
        <w:ind w:firstLine="480" w:firstLineChars="200"/>
        <w:rPr>
          <w:rFonts w:hint="eastAsia" w:cs="仿宋"/>
        </w:rPr>
      </w:pPr>
      <w:r>
        <w:rPr>
          <w:rFonts w:hint="eastAsia" w:cs="仿宋"/>
        </w:rPr>
        <w:t>7.7.2发出中标通知书后，招标人无正当理由拒签合同，或者在签订合同时向中标人提出附加条件的，招标人向中标人退还投标保证金；给中标人造成损失的，还应当赔偿损失。</w:t>
      </w:r>
    </w:p>
    <w:p w14:paraId="6107C9E7">
      <w:pPr>
        <w:pStyle w:val="64"/>
        <w:rPr>
          <w:rStyle w:val="96"/>
          <w:rFonts w:hint="eastAsia"/>
          <w:b/>
          <w:bCs/>
        </w:rPr>
      </w:pPr>
      <w:bookmarkStart w:id="108" w:name="_Toc507936051"/>
      <w:bookmarkStart w:id="109" w:name="_Toc506105859"/>
      <w:r>
        <w:rPr>
          <w:rStyle w:val="96"/>
          <w:rFonts w:hint="eastAsia"/>
          <w:b/>
          <w:bCs/>
        </w:rPr>
        <w:t>8.重新</w:t>
      </w:r>
      <w:bookmarkEnd w:id="108"/>
      <w:bookmarkEnd w:id="109"/>
      <w:bookmarkStart w:id="110" w:name="_Toc506105860"/>
      <w:r>
        <w:rPr>
          <w:rStyle w:val="96"/>
          <w:rFonts w:hint="eastAsia"/>
          <w:b/>
          <w:bCs/>
        </w:rPr>
        <w:t>招标</w:t>
      </w:r>
    </w:p>
    <w:bookmarkEnd w:id="110"/>
    <w:p w14:paraId="1F66849E">
      <w:pPr>
        <w:pStyle w:val="59"/>
        <w:rPr>
          <w:rFonts w:hint="eastAsia"/>
        </w:rPr>
      </w:pPr>
      <w:bookmarkStart w:id="111" w:name="_Toc507936052"/>
      <w:r>
        <w:rPr>
          <w:rFonts w:hint="eastAsia"/>
        </w:rPr>
        <w:t>8.1重新</w:t>
      </w:r>
      <w:bookmarkEnd w:id="111"/>
      <w:r>
        <w:rPr>
          <w:rFonts w:hint="eastAsia"/>
        </w:rPr>
        <w:t>招标</w:t>
      </w:r>
    </w:p>
    <w:p w14:paraId="46A7F361">
      <w:pPr>
        <w:spacing w:line="360" w:lineRule="auto"/>
        <w:rPr>
          <w:rFonts w:cs="仿宋"/>
          <w:sz w:val="28"/>
          <w:szCs w:val="28"/>
        </w:rPr>
      </w:pPr>
      <w:r>
        <w:rPr>
          <w:rFonts w:hint="eastAsia" w:cs="仿宋"/>
        </w:rPr>
        <w:t>详见投标人须知前附表</w:t>
      </w:r>
    </w:p>
    <w:p w14:paraId="0854DEF7">
      <w:pPr>
        <w:pStyle w:val="64"/>
        <w:rPr>
          <w:rStyle w:val="96"/>
          <w:b/>
          <w:bCs/>
        </w:rPr>
      </w:pPr>
      <w:bookmarkStart w:id="112" w:name="_Toc144974542"/>
      <w:bookmarkStart w:id="113" w:name="_Toc507936053"/>
      <w:bookmarkStart w:id="114" w:name="_Toc269310962"/>
      <w:bookmarkStart w:id="115" w:name="_Toc152045574"/>
      <w:bookmarkStart w:id="116" w:name="_Toc152042350"/>
      <w:bookmarkStart w:id="117" w:name="_Toc312072272"/>
      <w:bookmarkStart w:id="118" w:name="_Toc446434333"/>
      <w:r>
        <w:rPr>
          <w:rStyle w:val="96"/>
          <w:b/>
          <w:bCs/>
        </w:rPr>
        <w:t xml:space="preserve">9. </w:t>
      </w:r>
      <w:r>
        <w:rPr>
          <w:rStyle w:val="96"/>
          <w:rFonts w:hint="eastAsia"/>
          <w:b/>
          <w:bCs/>
        </w:rPr>
        <w:t>纪律和监督</w:t>
      </w:r>
      <w:bookmarkEnd w:id="112"/>
      <w:bookmarkEnd w:id="113"/>
      <w:bookmarkEnd w:id="114"/>
      <w:bookmarkEnd w:id="115"/>
      <w:bookmarkEnd w:id="116"/>
      <w:bookmarkEnd w:id="117"/>
      <w:bookmarkEnd w:id="118"/>
    </w:p>
    <w:p w14:paraId="53FFA857">
      <w:pPr>
        <w:pStyle w:val="59"/>
        <w:rPr>
          <w:rFonts w:hint="eastAsia"/>
        </w:rPr>
      </w:pPr>
      <w:bookmarkStart w:id="119" w:name="_Toc507936054"/>
      <w:bookmarkStart w:id="120" w:name="_Toc152045580"/>
      <w:bookmarkStart w:id="121" w:name="_Toc144974547"/>
      <w:bookmarkStart w:id="122" w:name="_Toc269310968"/>
      <w:bookmarkStart w:id="123" w:name="_Toc152042357"/>
      <w:r>
        <w:rPr>
          <w:rFonts w:hint="eastAsia"/>
        </w:rPr>
        <w:t>9.1对招标人的纪律要求</w:t>
      </w:r>
      <w:bookmarkEnd w:id="119"/>
    </w:p>
    <w:p w14:paraId="5505F97F">
      <w:pPr>
        <w:spacing w:line="400" w:lineRule="exact"/>
        <w:ind w:firstLine="480" w:firstLineChars="200"/>
      </w:pPr>
      <w:r>
        <w:rPr>
          <w:rFonts w:hint="eastAsia"/>
        </w:rPr>
        <w:t>招标人不得泄漏招标活动中应当保密的情况和资料，不得与投标人串通损害国家利益、社会公共利益和他人合法权益。</w:t>
      </w:r>
    </w:p>
    <w:p w14:paraId="403BECAD">
      <w:pPr>
        <w:pStyle w:val="59"/>
        <w:rPr>
          <w:rFonts w:hint="eastAsia"/>
        </w:rPr>
      </w:pPr>
      <w:bookmarkStart w:id="124" w:name="_Toc507936055"/>
      <w:r>
        <w:rPr>
          <w:rFonts w:hint="eastAsia"/>
        </w:rPr>
        <w:t>9.2对投标人的纪律要求</w:t>
      </w:r>
      <w:bookmarkEnd w:id="124"/>
    </w:p>
    <w:p w14:paraId="11A6269F">
      <w:pPr>
        <w:spacing w:line="400" w:lineRule="exact"/>
        <w:ind w:firstLine="480" w:firstLineChars="200"/>
      </w:pPr>
      <w:r>
        <w:rPr>
          <w:rFonts w:hint="eastAsia"/>
        </w:rPr>
        <w:t>投标人不得相互串通或者与招标人串通，不得向招标人或者评标委员会成员行贿谋取</w:t>
      </w:r>
      <w:r>
        <w:rPr>
          <w:rFonts w:hint="eastAsia" w:cs="仿宋"/>
        </w:rPr>
        <w:t>中标</w:t>
      </w:r>
      <w:r>
        <w:rPr>
          <w:rFonts w:hint="eastAsia"/>
        </w:rPr>
        <w:t>，不得以他人名义参加招标或者以其他方式弄虚作假骗取</w:t>
      </w:r>
      <w:r>
        <w:rPr>
          <w:rFonts w:hint="eastAsia" w:cs="仿宋"/>
        </w:rPr>
        <w:t>中标</w:t>
      </w:r>
      <w:r>
        <w:rPr>
          <w:rFonts w:hint="eastAsia"/>
        </w:rPr>
        <w:t>；投标人不得以任何方式干扰、影响评标工作。</w:t>
      </w:r>
    </w:p>
    <w:p w14:paraId="583F4C0C">
      <w:pPr>
        <w:pStyle w:val="59"/>
      </w:pPr>
      <w:bookmarkStart w:id="125" w:name="_Toc507936056"/>
      <w:bookmarkStart w:id="126" w:name="_Toc446434336"/>
      <w:bookmarkStart w:id="127" w:name="_Toc312072275"/>
      <w:r>
        <w:t xml:space="preserve">9.3 </w:t>
      </w:r>
      <w:r>
        <w:rPr>
          <w:rFonts w:hint="eastAsia"/>
        </w:rPr>
        <w:t>对评标委员会成员的纪律要求</w:t>
      </w:r>
      <w:bookmarkEnd w:id="125"/>
      <w:bookmarkEnd w:id="126"/>
      <w:bookmarkEnd w:id="127"/>
    </w:p>
    <w:p w14:paraId="6CA22676">
      <w:pPr>
        <w:spacing w:line="400" w:lineRule="exact"/>
        <w:ind w:firstLine="480" w:firstLineChars="200"/>
      </w:pPr>
      <w:r>
        <w:rPr>
          <w:rFonts w:hint="eastAsia"/>
        </w:rPr>
        <w:t>评标委员会成员不得收受他人的财物或者其他好处，不得向他人透漏对投标文件的评标和比较、中标候选人的推荐情况以及与评标有关的其他情况。在评标活动中，评标委员会成员不得擅离职守，影响评标程序正常进行，不得使用第三章“评标办法”没有规定的评标因素和标准进行评标。</w:t>
      </w:r>
    </w:p>
    <w:p w14:paraId="69C37B55">
      <w:pPr>
        <w:pStyle w:val="59"/>
      </w:pPr>
      <w:bookmarkStart w:id="128" w:name="_Toc312072276"/>
      <w:bookmarkStart w:id="129" w:name="_Toc507936057"/>
      <w:bookmarkStart w:id="130" w:name="_Toc446434337"/>
      <w:r>
        <w:t xml:space="preserve">9.4 </w:t>
      </w:r>
      <w:r>
        <w:rPr>
          <w:rFonts w:hint="eastAsia"/>
        </w:rPr>
        <w:t>对与评标活动有关的工作人员的纪律要求</w:t>
      </w:r>
      <w:bookmarkEnd w:id="128"/>
      <w:bookmarkEnd w:id="129"/>
      <w:bookmarkEnd w:id="130"/>
    </w:p>
    <w:p w14:paraId="24A9A2AE">
      <w:pPr>
        <w:spacing w:line="400" w:lineRule="exact"/>
        <w:ind w:firstLine="480" w:firstLineChars="200"/>
      </w:pPr>
      <w:r>
        <w:rPr>
          <w:rFonts w:hint="eastAsia"/>
        </w:rPr>
        <w:t>与评标活动有关的工作人员不得收受他人的财物或者其他好处，不得向他人透漏对投标文件的评标和比较、</w:t>
      </w:r>
      <w:r>
        <w:rPr>
          <w:rFonts w:hint="eastAsia" w:cs="仿宋"/>
        </w:rPr>
        <w:t>中标</w:t>
      </w:r>
      <w:r>
        <w:rPr>
          <w:rFonts w:hint="eastAsia"/>
        </w:rPr>
        <w:t>候选人的推荐情况以及与评标有关的其他情况。在评标活动中，与评标活动有关的工作人员不得擅离职守，影响评标程序正常进行。</w:t>
      </w:r>
    </w:p>
    <w:p w14:paraId="1C6D96EC">
      <w:pPr>
        <w:pStyle w:val="59"/>
      </w:pPr>
      <w:bookmarkStart w:id="131" w:name="_Toc312072277"/>
      <w:bookmarkStart w:id="132" w:name="_Toc507936058"/>
      <w:bookmarkStart w:id="133" w:name="_Toc446434338"/>
      <w:r>
        <w:t xml:space="preserve">9.5 </w:t>
      </w:r>
      <w:r>
        <w:rPr>
          <w:rFonts w:hint="eastAsia"/>
        </w:rPr>
        <w:t>投诉</w:t>
      </w:r>
      <w:bookmarkEnd w:id="131"/>
      <w:bookmarkEnd w:id="132"/>
      <w:bookmarkEnd w:id="133"/>
    </w:p>
    <w:p w14:paraId="10B44F65">
      <w:pPr>
        <w:spacing w:line="400" w:lineRule="exact"/>
        <w:ind w:firstLine="480" w:firstLineChars="200"/>
      </w:pPr>
      <w:bookmarkStart w:id="134" w:name="_Toc312072278"/>
      <w:r>
        <w:rPr>
          <w:rFonts w:hint="eastAsia"/>
        </w:rPr>
        <w:t>投标人和其他利害关系人认为本次招标活动违反法律、法规和规章规定的，有权向市建设行政主管部门和相关监督部门投诉。</w:t>
      </w:r>
    </w:p>
    <w:p w14:paraId="2AAE87BD">
      <w:pPr>
        <w:pStyle w:val="59"/>
        <w:jc w:val="center"/>
        <w:rPr>
          <w:rStyle w:val="96"/>
          <w:b/>
          <w:bCs/>
        </w:rPr>
      </w:pPr>
      <w:bookmarkStart w:id="135" w:name="_Toc507936059"/>
      <w:bookmarkStart w:id="136" w:name="_Toc446434339"/>
      <w:r>
        <w:rPr>
          <w:rStyle w:val="96"/>
          <w:b/>
          <w:bCs/>
        </w:rPr>
        <w:t xml:space="preserve">10. </w:t>
      </w:r>
      <w:r>
        <w:rPr>
          <w:rStyle w:val="96"/>
          <w:rFonts w:hint="eastAsia"/>
          <w:b/>
          <w:bCs/>
        </w:rPr>
        <w:t>需要补充的其他内容</w:t>
      </w:r>
      <w:bookmarkEnd w:id="120"/>
      <w:bookmarkEnd w:id="121"/>
      <w:bookmarkEnd w:id="122"/>
      <w:bookmarkEnd w:id="123"/>
      <w:bookmarkEnd w:id="134"/>
      <w:bookmarkEnd w:id="135"/>
      <w:bookmarkEnd w:id="136"/>
    </w:p>
    <w:p w14:paraId="662E469F">
      <w:pPr>
        <w:spacing w:line="360" w:lineRule="auto"/>
        <w:rPr>
          <w:rFonts w:hint="eastAsia"/>
        </w:rPr>
      </w:pPr>
      <w:r>
        <w:rPr>
          <w:rFonts w:hint="eastAsia"/>
        </w:rPr>
        <w:t>10.1评委投票方式：见投标人须知前附表。</w:t>
      </w:r>
    </w:p>
    <w:p w14:paraId="48A0DA1F">
      <w:pPr>
        <w:spacing w:line="360" w:lineRule="auto"/>
        <w:rPr>
          <w:rFonts w:hint="eastAsia"/>
        </w:rPr>
      </w:pPr>
      <w:r>
        <w:rPr>
          <w:rFonts w:hint="eastAsia"/>
        </w:rPr>
        <w:t>10.2投标人对招标文件认可的界定：见投标人须知前附表。</w:t>
      </w:r>
    </w:p>
    <w:p w14:paraId="3507090A">
      <w:pPr>
        <w:pStyle w:val="56"/>
        <w:spacing w:before="156"/>
      </w:pPr>
      <w:bookmarkStart w:id="137" w:name="_Toc506105866"/>
      <w:bookmarkStart w:id="138" w:name="_Toc507936060"/>
      <w:r>
        <w:br w:type="page"/>
      </w:r>
      <w:bookmarkStart w:id="139" w:name="_Toc17549_WPSOffice_Level1"/>
      <w:bookmarkStart w:id="140" w:name="_Toc24184_WPSOffice_Level1"/>
      <w:r>
        <w:rPr>
          <w:rFonts w:hint="eastAsia"/>
        </w:rPr>
        <w:t>第三章  评标办法</w:t>
      </w:r>
      <w:bookmarkEnd w:id="137"/>
      <w:bookmarkEnd w:id="138"/>
      <w:bookmarkEnd w:id="139"/>
      <w:bookmarkEnd w:id="140"/>
    </w:p>
    <w:p w14:paraId="3008EE0C">
      <w:pPr>
        <w:tabs>
          <w:tab w:val="left" w:pos="6237"/>
        </w:tabs>
        <w:spacing w:line="360" w:lineRule="auto"/>
        <w:ind w:firstLine="480" w:firstLineChars="200"/>
        <w:rPr>
          <w:rFonts w:cs="仿宋"/>
          <w:bCs/>
          <w:color w:val="000000"/>
        </w:rPr>
      </w:pPr>
      <w:r>
        <w:rPr>
          <w:rFonts w:hint="eastAsia" w:cs="仿宋"/>
          <w:bCs/>
          <w:color w:val="000000"/>
        </w:rPr>
        <w:t>为规范招标工作，制定本办法。</w:t>
      </w:r>
    </w:p>
    <w:p w14:paraId="2991EE9B">
      <w:pPr>
        <w:spacing w:line="360" w:lineRule="auto"/>
        <w:rPr>
          <w:rFonts w:cs="仿宋"/>
          <w:color w:val="000000"/>
        </w:rPr>
      </w:pPr>
      <w:r>
        <w:rPr>
          <w:rFonts w:hint="eastAsia" w:cs="仿宋"/>
          <w:color w:val="000000"/>
        </w:rPr>
        <w:t>一、评标方法</w:t>
      </w:r>
    </w:p>
    <w:p w14:paraId="789F7380">
      <w:pPr>
        <w:spacing w:line="360" w:lineRule="auto"/>
        <w:ind w:firstLine="480" w:firstLineChars="200"/>
        <w:rPr>
          <w:rFonts w:cs="仿宋"/>
          <w:bCs/>
          <w:color w:val="000000"/>
        </w:rPr>
      </w:pPr>
      <w:r>
        <w:rPr>
          <w:rFonts w:hint="eastAsia" w:cs="仿宋"/>
          <w:bCs/>
          <w:color w:val="000000"/>
        </w:rPr>
        <w:t>按评分标准表进行评标。</w:t>
      </w:r>
    </w:p>
    <w:p w14:paraId="071DEE0B">
      <w:pPr>
        <w:spacing w:line="360" w:lineRule="auto"/>
        <w:rPr>
          <w:rFonts w:cs="仿宋"/>
          <w:color w:val="000000"/>
        </w:rPr>
      </w:pPr>
      <w:r>
        <w:rPr>
          <w:rFonts w:hint="eastAsia" w:cs="仿宋"/>
          <w:bCs/>
          <w:color w:val="000000"/>
        </w:rPr>
        <w:t>二、评标原则</w:t>
      </w:r>
    </w:p>
    <w:p w14:paraId="56D0462D">
      <w:pPr>
        <w:spacing w:line="360" w:lineRule="auto"/>
        <w:ind w:firstLine="480" w:firstLineChars="200"/>
        <w:rPr>
          <w:rFonts w:cs="仿宋"/>
          <w:color w:val="000000"/>
        </w:rPr>
      </w:pPr>
      <w:r>
        <w:rPr>
          <w:rFonts w:hint="eastAsia" w:cs="仿宋"/>
          <w:bCs/>
          <w:color w:val="000000"/>
        </w:rPr>
        <w:t>评标遵循公平、公正、科学、择优的原则。</w:t>
      </w:r>
    </w:p>
    <w:p w14:paraId="7963C8C9">
      <w:pPr>
        <w:spacing w:line="360" w:lineRule="auto"/>
        <w:rPr>
          <w:rFonts w:cs="仿宋"/>
          <w:color w:val="000000"/>
        </w:rPr>
      </w:pPr>
      <w:r>
        <w:rPr>
          <w:rFonts w:hint="eastAsia" w:cs="仿宋"/>
          <w:bCs/>
          <w:color w:val="000000"/>
        </w:rPr>
        <w:t>三、评标组织及服务</w:t>
      </w:r>
    </w:p>
    <w:p w14:paraId="0D5E1CF0">
      <w:pPr>
        <w:spacing w:line="360" w:lineRule="auto"/>
        <w:ind w:firstLine="480" w:firstLineChars="200"/>
        <w:rPr>
          <w:rFonts w:cs="仿宋"/>
          <w:bCs/>
          <w:color w:val="000000"/>
        </w:rPr>
      </w:pPr>
      <w:r>
        <w:rPr>
          <w:rFonts w:hint="eastAsia" w:cs="仿宋"/>
          <w:bCs/>
          <w:color w:val="000000"/>
        </w:rPr>
        <w:t>1、为做好评标工作，成立评标委员会和工作小组。</w:t>
      </w:r>
    </w:p>
    <w:p w14:paraId="455C392D">
      <w:pPr>
        <w:spacing w:line="360" w:lineRule="auto"/>
        <w:ind w:firstLine="480" w:firstLineChars="200"/>
        <w:rPr>
          <w:rFonts w:cs="仿宋"/>
          <w:bCs/>
          <w:color w:val="000000"/>
        </w:rPr>
      </w:pPr>
      <w:r>
        <w:rPr>
          <w:rFonts w:hint="eastAsia" w:cs="仿宋"/>
          <w:bCs/>
          <w:color w:val="000000"/>
        </w:rPr>
        <w:t>2、评标委员会</w:t>
      </w:r>
    </w:p>
    <w:p w14:paraId="3EEE48FB">
      <w:pPr>
        <w:spacing w:line="360" w:lineRule="auto"/>
        <w:ind w:firstLine="480" w:firstLineChars="200"/>
        <w:rPr>
          <w:rFonts w:cs="仿宋"/>
          <w:bCs/>
          <w:color w:val="000000"/>
        </w:rPr>
      </w:pPr>
      <w:r>
        <w:rPr>
          <w:rFonts w:hint="eastAsia" w:cs="仿宋"/>
          <w:bCs/>
          <w:color w:val="000000"/>
        </w:rPr>
        <w:t>2.1评标委员会由招标人依法组建，评标委员会成员由招标人代表及熟悉相关业务的有关技术、经济等方面的专家组成。</w:t>
      </w:r>
    </w:p>
    <w:p w14:paraId="1935EA98">
      <w:pPr>
        <w:spacing w:line="360" w:lineRule="auto"/>
        <w:ind w:firstLine="480" w:firstLineChars="200"/>
        <w:rPr>
          <w:rFonts w:cs="仿宋"/>
          <w:bCs/>
          <w:color w:val="000000"/>
        </w:rPr>
      </w:pPr>
      <w:r>
        <w:rPr>
          <w:rFonts w:hint="eastAsia" w:cs="仿宋"/>
          <w:bCs/>
          <w:color w:val="000000"/>
        </w:rPr>
        <w:t>2.2评标委员会成员为5人及以上单数。</w:t>
      </w:r>
    </w:p>
    <w:p w14:paraId="7728E29C">
      <w:pPr>
        <w:spacing w:line="360" w:lineRule="auto"/>
        <w:ind w:firstLine="480" w:firstLineChars="200"/>
        <w:rPr>
          <w:rFonts w:cs="仿宋"/>
          <w:bCs/>
          <w:color w:val="000000"/>
        </w:rPr>
      </w:pPr>
      <w:r>
        <w:rPr>
          <w:rFonts w:hint="eastAsia" w:cs="仿宋"/>
          <w:bCs/>
          <w:color w:val="000000"/>
        </w:rPr>
        <w:t>2.3评标工作由评标委员会负责。</w:t>
      </w:r>
    </w:p>
    <w:p w14:paraId="0B838BD1">
      <w:pPr>
        <w:spacing w:line="360" w:lineRule="auto"/>
        <w:ind w:firstLine="480" w:firstLineChars="200"/>
        <w:rPr>
          <w:rFonts w:cs="仿宋"/>
          <w:bCs/>
          <w:color w:val="000000"/>
        </w:rPr>
      </w:pPr>
      <w:r>
        <w:rPr>
          <w:rFonts w:hint="eastAsia" w:cs="仿宋"/>
          <w:bCs/>
          <w:color w:val="000000"/>
        </w:rPr>
        <w:t>3、工作小组</w:t>
      </w:r>
    </w:p>
    <w:p w14:paraId="1C2D015F">
      <w:pPr>
        <w:spacing w:line="360" w:lineRule="auto"/>
        <w:ind w:firstLine="480" w:firstLineChars="200"/>
        <w:rPr>
          <w:rFonts w:cs="仿宋"/>
          <w:bCs/>
          <w:color w:val="000000"/>
        </w:rPr>
      </w:pPr>
      <w:r>
        <w:rPr>
          <w:rFonts w:hint="eastAsia" w:cs="仿宋"/>
          <w:bCs/>
          <w:color w:val="000000"/>
        </w:rPr>
        <w:t>3.1由招标人组成工作小组，为评标委员会服务。</w:t>
      </w:r>
    </w:p>
    <w:p w14:paraId="16E10AB9">
      <w:pPr>
        <w:spacing w:line="360" w:lineRule="auto"/>
        <w:ind w:firstLine="480" w:firstLineChars="200"/>
        <w:rPr>
          <w:rFonts w:cs="仿宋"/>
          <w:bCs/>
          <w:color w:val="000000"/>
        </w:rPr>
      </w:pPr>
      <w:r>
        <w:rPr>
          <w:rFonts w:hint="eastAsia" w:cs="仿宋"/>
          <w:bCs/>
          <w:color w:val="000000"/>
        </w:rPr>
        <w:t>3.2工作小组承担保管招标文件、投标文件、发放评标资料、投标文件摘录汇总、基础数据对比及会议服务。</w:t>
      </w:r>
    </w:p>
    <w:p w14:paraId="1F7FF5A8">
      <w:pPr>
        <w:spacing w:line="360" w:lineRule="auto"/>
        <w:rPr>
          <w:rFonts w:cs="仿宋"/>
          <w:bCs/>
          <w:color w:val="000000"/>
        </w:rPr>
      </w:pPr>
      <w:r>
        <w:rPr>
          <w:rFonts w:hint="eastAsia" w:cs="仿宋"/>
          <w:bCs/>
          <w:color w:val="000000"/>
        </w:rPr>
        <w:t>四、评标程序及内容</w:t>
      </w:r>
    </w:p>
    <w:p w14:paraId="0D2AB460">
      <w:pPr>
        <w:spacing w:line="360" w:lineRule="auto"/>
        <w:ind w:firstLine="480" w:firstLineChars="200"/>
        <w:rPr>
          <w:rFonts w:hint="eastAsia" w:cs="仿宋"/>
          <w:bCs/>
          <w:color w:val="FF0000"/>
        </w:rPr>
      </w:pPr>
      <w:r>
        <w:rPr>
          <w:rFonts w:hint="eastAsia" w:cs="仿宋"/>
          <w:bCs/>
          <w:color w:val="000000"/>
        </w:rPr>
        <w:t>1、评标的方法：</w:t>
      </w:r>
      <w:r>
        <w:rPr>
          <w:rFonts w:hint="eastAsia" w:cs="仿宋"/>
          <w:bCs/>
        </w:rPr>
        <w:t>由资格审查、</w:t>
      </w:r>
      <w:r>
        <w:rPr>
          <w:rFonts w:hint="eastAsia" w:cs="仿宋"/>
          <w:bCs/>
          <w:color w:val="000000"/>
        </w:rPr>
        <w:t>综合</w:t>
      </w:r>
      <w:r>
        <w:rPr>
          <w:rFonts w:hint="eastAsia" w:cs="仿宋"/>
          <w:bCs/>
        </w:rPr>
        <w:t>评标两部分。</w:t>
      </w:r>
    </w:p>
    <w:p w14:paraId="2B3862DF">
      <w:pPr>
        <w:spacing w:line="360" w:lineRule="auto"/>
        <w:ind w:firstLine="480" w:firstLineChars="200"/>
        <w:rPr>
          <w:rFonts w:cs="仿宋"/>
          <w:bCs/>
          <w:color w:val="000000"/>
        </w:rPr>
      </w:pPr>
      <w:r>
        <w:rPr>
          <w:rFonts w:hint="eastAsia" w:cs="仿宋"/>
          <w:bCs/>
        </w:rPr>
        <w:t>2、资格审查</w:t>
      </w:r>
      <w:r>
        <w:rPr>
          <w:rFonts w:hint="eastAsia" w:cs="仿宋"/>
          <w:bCs/>
          <w:color w:val="000000"/>
        </w:rPr>
        <w:t>：按对投标人的资格要求、缴纳投标保证金等情况进行评标。详见《资格审查表》。</w:t>
      </w:r>
    </w:p>
    <w:p w14:paraId="15770DEC">
      <w:pPr>
        <w:spacing w:line="360" w:lineRule="auto"/>
        <w:ind w:firstLine="480" w:firstLineChars="200"/>
        <w:rPr>
          <w:rFonts w:cs="仿宋"/>
          <w:bCs/>
          <w:color w:val="000000"/>
        </w:rPr>
      </w:pPr>
      <w:r>
        <w:rPr>
          <w:rFonts w:hint="eastAsia" w:cs="仿宋"/>
          <w:bCs/>
          <w:color w:val="000000"/>
        </w:rPr>
        <w:t>3、综合评标：通过资格审查后，根据投标人的商务、技术和价格等进行综合评标。</w:t>
      </w:r>
    </w:p>
    <w:p w14:paraId="16E0F908">
      <w:pPr>
        <w:spacing w:line="360" w:lineRule="auto"/>
        <w:rPr>
          <w:rFonts w:cs="仿宋"/>
          <w:bCs/>
          <w:color w:val="000000"/>
        </w:rPr>
      </w:pPr>
      <w:r>
        <w:rPr>
          <w:rFonts w:hint="eastAsia" w:cs="仿宋"/>
          <w:bCs/>
          <w:color w:val="000000"/>
        </w:rPr>
        <w:t>五、评标报告</w:t>
      </w:r>
    </w:p>
    <w:p w14:paraId="52101619">
      <w:pPr>
        <w:spacing w:line="360" w:lineRule="auto"/>
        <w:ind w:firstLine="480" w:firstLineChars="200"/>
        <w:rPr>
          <w:rFonts w:cs="仿宋"/>
          <w:bCs/>
          <w:color w:val="000000"/>
        </w:rPr>
      </w:pPr>
      <w:r>
        <w:rPr>
          <w:rFonts w:hint="eastAsia" w:cs="仿宋"/>
          <w:bCs/>
          <w:color w:val="000000"/>
        </w:rPr>
        <w:t>1、评标委员会根据评标情况和结果，向招标人提交评标报告。评标报告由评标委员会起草，评标委员会全体成员应在评标报告上签字确认，评标专家如有保留意见可以在评标报告中阐明。</w:t>
      </w:r>
    </w:p>
    <w:p w14:paraId="52FC9E09">
      <w:pPr>
        <w:spacing w:line="360" w:lineRule="auto"/>
        <w:ind w:firstLine="480" w:firstLineChars="200"/>
        <w:rPr>
          <w:rFonts w:cs="仿宋"/>
          <w:bCs/>
          <w:color w:val="000000"/>
        </w:rPr>
      </w:pPr>
      <w:r>
        <w:rPr>
          <w:rFonts w:hint="eastAsia" w:cs="仿宋"/>
          <w:bCs/>
          <w:color w:val="000000"/>
        </w:rPr>
        <w:t>2、评标委员会在评标报告中根据得分排序推荐前</w:t>
      </w:r>
      <w:r>
        <w:rPr>
          <w:rFonts w:hint="eastAsia" w:cs="仿宋"/>
          <w:bCs/>
        </w:rPr>
        <w:t>一至二名</w:t>
      </w:r>
      <w:r>
        <w:rPr>
          <w:rFonts w:hint="eastAsia" w:cs="仿宋"/>
          <w:bCs/>
          <w:color w:val="000000"/>
        </w:rPr>
        <w:t>为中标候选人。</w:t>
      </w:r>
    </w:p>
    <w:p w14:paraId="11D6EA3D">
      <w:pPr>
        <w:jc w:val="center"/>
        <w:rPr>
          <w:rFonts w:hint="eastAsia"/>
          <w:b/>
          <w:sz w:val="30"/>
          <w:szCs w:val="30"/>
        </w:rPr>
      </w:pPr>
    </w:p>
    <w:p w14:paraId="62170735">
      <w:pPr>
        <w:jc w:val="center"/>
        <w:rPr>
          <w:b/>
          <w:sz w:val="30"/>
          <w:szCs w:val="30"/>
        </w:rPr>
      </w:pPr>
      <w:r>
        <w:rPr>
          <w:rFonts w:hint="eastAsia"/>
          <w:b/>
          <w:sz w:val="30"/>
          <w:szCs w:val="30"/>
        </w:rPr>
        <w:t>1.资格审查表</w:t>
      </w:r>
    </w:p>
    <w:p w14:paraId="61399F9C">
      <w:pPr>
        <w:ind w:left="-808" w:leftChars="-337" w:firstLine="720" w:firstLineChars="300"/>
        <w:rPr>
          <w:szCs w:val="21"/>
        </w:rPr>
      </w:pPr>
      <w:r>
        <w:rPr>
          <w:rFonts w:hint="eastAsia"/>
          <w:szCs w:val="21"/>
        </w:rPr>
        <w:t>招标编号：                 审查日期： 年 月 日</w:t>
      </w:r>
    </w:p>
    <w:tbl>
      <w:tblPr>
        <w:tblStyle w:val="46"/>
        <w:tblW w:w="0" w:type="auto"/>
        <w:tblInd w:w="-601" w:type="dxa"/>
        <w:tblLayout w:type="autofit"/>
        <w:tblCellMar>
          <w:top w:w="0" w:type="dxa"/>
          <w:left w:w="108" w:type="dxa"/>
          <w:bottom w:w="0" w:type="dxa"/>
          <w:right w:w="108" w:type="dxa"/>
        </w:tblCellMar>
      </w:tblPr>
      <w:tblGrid>
        <w:gridCol w:w="567"/>
        <w:gridCol w:w="1276"/>
        <w:gridCol w:w="1701"/>
        <w:gridCol w:w="993"/>
        <w:gridCol w:w="456"/>
        <w:gridCol w:w="849"/>
        <w:gridCol w:w="1701"/>
        <w:gridCol w:w="2268"/>
      </w:tblGrid>
      <w:tr w14:paraId="49BB3F77">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68C46730">
            <w:pPr>
              <w:jc w:val="center"/>
              <w:rPr>
                <w:szCs w:val="21"/>
              </w:rPr>
            </w:pPr>
            <w:r>
              <w:rPr>
                <w:rFonts w:hint="eastAsia"/>
                <w:szCs w:val="21"/>
              </w:rPr>
              <w:t>招标名称</w:t>
            </w:r>
          </w:p>
        </w:tc>
        <w:tc>
          <w:tcPr>
            <w:tcW w:w="7938" w:type="dxa"/>
            <w:gridSpan w:val="6"/>
            <w:tcBorders>
              <w:top w:val="single" w:color="auto" w:sz="8" w:space="0"/>
              <w:left w:val="nil"/>
              <w:bottom w:val="single" w:color="auto" w:sz="8" w:space="0"/>
              <w:right w:val="single" w:color="000000" w:sz="8" w:space="0"/>
            </w:tcBorders>
            <w:noWrap/>
            <w:vAlign w:val="center"/>
          </w:tcPr>
          <w:p w14:paraId="2A419E03">
            <w:pPr>
              <w:jc w:val="center"/>
              <w:rPr>
                <w:szCs w:val="21"/>
              </w:rPr>
            </w:pPr>
          </w:p>
        </w:tc>
      </w:tr>
      <w:tr w14:paraId="2A5A99E3">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05698E36">
            <w:pPr>
              <w:jc w:val="center"/>
              <w:rPr>
                <w:szCs w:val="21"/>
              </w:rPr>
            </w:pPr>
            <w:r>
              <w:rPr>
                <w:rFonts w:hint="eastAsia"/>
                <w:szCs w:val="21"/>
              </w:rPr>
              <w:t>招标内容</w:t>
            </w:r>
          </w:p>
        </w:tc>
        <w:tc>
          <w:tcPr>
            <w:tcW w:w="7938" w:type="dxa"/>
            <w:gridSpan w:val="6"/>
            <w:tcBorders>
              <w:top w:val="single" w:color="auto" w:sz="8" w:space="0"/>
              <w:left w:val="nil"/>
              <w:bottom w:val="single" w:color="auto" w:sz="8" w:space="0"/>
              <w:right w:val="single" w:color="000000" w:sz="8" w:space="0"/>
            </w:tcBorders>
            <w:noWrap/>
            <w:vAlign w:val="center"/>
          </w:tcPr>
          <w:p w14:paraId="531096E2">
            <w:pPr>
              <w:jc w:val="center"/>
              <w:rPr>
                <w:szCs w:val="21"/>
              </w:rPr>
            </w:pPr>
          </w:p>
        </w:tc>
      </w:tr>
      <w:tr w14:paraId="7346D386">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5664E80D">
            <w:pPr>
              <w:jc w:val="center"/>
              <w:rPr>
                <w:szCs w:val="21"/>
              </w:rPr>
            </w:pPr>
            <w:r>
              <w:rPr>
                <w:rFonts w:hint="eastAsia"/>
                <w:szCs w:val="21"/>
              </w:rPr>
              <w:t>序号</w:t>
            </w:r>
          </w:p>
        </w:tc>
        <w:tc>
          <w:tcPr>
            <w:tcW w:w="2977" w:type="dxa"/>
            <w:gridSpan w:val="2"/>
            <w:tcBorders>
              <w:top w:val="single" w:color="auto" w:sz="8" w:space="0"/>
              <w:left w:val="nil"/>
              <w:bottom w:val="single" w:color="auto" w:sz="8" w:space="0"/>
              <w:right w:val="single" w:color="000000" w:sz="8" w:space="0"/>
            </w:tcBorders>
            <w:noWrap/>
            <w:vAlign w:val="center"/>
          </w:tcPr>
          <w:p w14:paraId="7A98000C">
            <w:pPr>
              <w:jc w:val="center"/>
              <w:rPr>
                <w:szCs w:val="21"/>
              </w:rPr>
            </w:pPr>
            <w:r>
              <w:rPr>
                <w:rFonts w:hint="eastAsia"/>
                <w:szCs w:val="21"/>
              </w:rPr>
              <w:t>报名单位</w:t>
            </w:r>
          </w:p>
        </w:tc>
        <w:tc>
          <w:tcPr>
            <w:tcW w:w="993" w:type="dxa"/>
            <w:tcBorders>
              <w:top w:val="nil"/>
              <w:left w:val="nil"/>
              <w:bottom w:val="single" w:color="auto" w:sz="8" w:space="0"/>
              <w:right w:val="single" w:color="auto" w:sz="8" w:space="0"/>
            </w:tcBorders>
            <w:noWrap/>
            <w:vAlign w:val="center"/>
          </w:tcPr>
          <w:p w14:paraId="6301ADCE">
            <w:pPr>
              <w:jc w:val="center"/>
              <w:rPr>
                <w:szCs w:val="21"/>
              </w:rPr>
            </w:pPr>
            <w:r>
              <w:rPr>
                <w:rFonts w:hint="eastAsia"/>
                <w:szCs w:val="21"/>
              </w:rPr>
              <w:t>注册资金</w:t>
            </w:r>
          </w:p>
        </w:tc>
        <w:tc>
          <w:tcPr>
            <w:tcW w:w="426" w:type="dxa"/>
            <w:tcBorders>
              <w:top w:val="nil"/>
              <w:left w:val="nil"/>
              <w:bottom w:val="single" w:color="auto" w:sz="8" w:space="0"/>
              <w:right w:val="single" w:color="auto" w:sz="8" w:space="0"/>
            </w:tcBorders>
            <w:noWrap w:val="0"/>
            <w:vAlign w:val="center"/>
          </w:tcPr>
          <w:p w14:paraId="4AEC8739">
            <w:pPr>
              <w:jc w:val="center"/>
              <w:rPr>
                <w:szCs w:val="21"/>
              </w:rPr>
            </w:pPr>
            <w:r>
              <w:rPr>
                <w:rFonts w:hint="eastAsia"/>
                <w:szCs w:val="21"/>
              </w:rPr>
              <w:t>业绩</w:t>
            </w:r>
          </w:p>
        </w:tc>
        <w:tc>
          <w:tcPr>
            <w:tcW w:w="849" w:type="dxa"/>
            <w:tcBorders>
              <w:top w:val="nil"/>
              <w:left w:val="nil"/>
              <w:bottom w:val="single" w:color="auto" w:sz="8" w:space="0"/>
              <w:right w:val="single" w:color="auto" w:sz="8" w:space="0"/>
            </w:tcBorders>
            <w:noWrap/>
            <w:vAlign w:val="center"/>
          </w:tcPr>
          <w:p w14:paraId="25E59DB0">
            <w:pPr>
              <w:jc w:val="center"/>
              <w:rPr>
                <w:szCs w:val="21"/>
              </w:rPr>
            </w:pPr>
            <w:r>
              <w:rPr>
                <w:rFonts w:hint="eastAsia"/>
                <w:szCs w:val="21"/>
              </w:rPr>
              <w:t>联系人</w:t>
            </w:r>
          </w:p>
        </w:tc>
        <w:tc>
          <w:tcPr>
            <w:tcW w:w="1701" w:type="dxa"/>
            <w:tcBorders>
              <w:top w:val="nil"/>
              <w:left w:val="nil"/>
              <w:bottom w:val="single" w:color="auto" w:sz="8" w:space="0"/>
              <w:right w:val="single" w:color="auto" w:sz="8" w:space="0"/>
            </w:tcBorders>
            <w:noWrap/>
            <w:vAlign w:val="center"/>
          </w:tcPr>
          <w:p w14:paraId="01574121">
            <w:pPr>
              <w:jc w:val="center"/>
              <w:rPr>
                <w:szCs w:val="21"/>
              </w:rPr>
            </w:pPr>
            <w:r>
              <w:rPr>
                <w:rFonts w:hint="eastAsia"/>
                <w:szCs w:val="21"/>
              </w:rPr>
              <w:t>联系电话</w:t>
            </w:r>
          </w:p>
        </w:tc>
        <w:tc>
          <w:tcPr>
            <w:tcW w:w="2268" w:type="dxa"/>
            <w:tcBorders>
              <w:top w:val="nil"/>
              <w:left w:val="nil"/>
              <w:bottom w:val="single" w:color="auto" w:sz="8" w:space="0"/>
              <w:right w:val="single" w:color="auto" w:sz="8" w:space="0"/>
            </w:tcBorders>
            <w:noWrap/>
            <w:vAlign w:val="center"/>
          </w:tcPr>
          <w:p w14:paraId="1F6FE525">
            <w:pPr>
              <w:jc w:val="center"/>
              <w:rPr>
                <w:szCs w:val="21"/>
              </w:rPr>
            </w:pPr>
            <w:r>
              <w:rPr>
                <w:rFonts w:hint="eastAsia"/>
                <w:szCs w:val="21"/>
              </w:rPr>
              <w:t>包号</w:t>
            </w:r>
          </w:p>
        </w:tc>
      </w:tr>
      <w:tr w14:paraId="06F69681">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D1720DA">
            <w:pPr>
              <w:jc w:val="center"/>
              <w:rPr>
                <w:color w:val="000000"/>
                <w:szCs w:val="21"/>
              </w:rPr>
            </w:pPr>
            <w:r>
              <w:rPr>
                <w:rFonts w:hint="eastAsia"/>
                <w:color w:val="000000"/>
                <w:szCs w:val="21"/>
              </w:rPr>
              <w:t>1</w:t>
            </w:r>
          </w:p>
        </w:tc>
        <w:tc>
          <w:tcPr>
            <w:tcW w:w="2977" w:type="dxa"/>
            <w:gridSpan w:val="2"/>
            <w:tcBorders>
              <w:top w:val="single" w:color="auto" w:sz="8" w:space="0"/>
              <w:left w:val="nil"/>
              <w:bottom w:val="single" w:color="auto" w:sz="8" w:space="0"/>
              <w:right w:val="single" w:color="000000" w:sz="8" w:space="0"/>
            </w:tcBorders>
            <w:noWrap/>
            <w:vAlign w:val="center"/>
          </w:tcPr>
          <w:p w14:paraId="3B03AEB3">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5FF36FC1">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7E1B88CC">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2095F4D2">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1E7F2CF6">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37B3E581">
            <w:pPr>
              <w:jc w:val="center"/>
              <w:rPr>
                <w:color w:val="000000"/>
                <w:szCs w:val="21"/>
              </w:rPr>
            </w:pPr>
            <w:r>
              <w:rPr>
                <w:rFonts w:hint="eastAsia"/>
                <w:color w:val="000000"/>
                <w:szCs w:val="21"/>
              </w:rPr>
              <w:t>　</w:t>
            </w:r>
          </w:p>
        </w:tc>
      </w:tr>
      <w:tr w14:paraId="02147C14">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73DF562D">
            <w:pPr>
              <w:jc w:val="center"/>
              <w:rPr>
                <w:color w:val="000000"/>
                <w:szCs w:val="21"/>
              </w:rPr>
            </w:pPr>
            <w:r>
              <w:rPr>
                <w:rFonts w:hint="eastAsia"/>
                <w:color w:val="000000"/>
                <w:szCs w:val="21"/>
              </w:rPr>
              <w:t>2</w:t>
            </w:r>
          </w:p>
        </w:tc>
        <w:tc>
          <w:tcPr>
            <w:tcW w:w="2977" w:type="dxa"/>
            <w:gridSpan w:val="2"/>
            <w:tcBorders>
              <w:top w:val="single" w:color="auto" w:sz="8" w:space="0"/>
              <w:left w:val="nil"/>
              <w:bottom w:val="single" w:color="auto" w:sz="8" w:space="0"/>
              <w:right w:val="single" w:color="000000" w:sz="8" w:space="0"/>
            </w:tcBorders>
            <w:noWrap/>
            <w:vAlign w:val="center"/>
          </w:tcPr>
          <w:p w14:paraId="1C4C8EAE">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4361BBB4">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11A106BD">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6019F4C5">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3FC8A8E6">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304A169F">
            <w:pPr>
              <w:jc w:val="center"/>
              <w:rPr>
                <w:color w:val="000000"/>
                <w:szCs w:val="21"/>
              </w:rPr>
            </w:pPr>
            <w:r>
              <w:rPr>
                <w:rFonts w:hint="eastAsia"/>
                <w:color w:val="000000"/>
                <w:szCs w:val="21"/>
              </w:rPr>
              <w:t>　</w:t>
            </w:r>
          </w:p>
        </w:tc>
      </w:tr>
      <w:tr w14:paraId="55ADAF3D">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04490C81">
            <w:pPr>
              <w:jc w:val="center"/>
              <w:rPr>
                <w:color w:val="000000"/>
                <w:szCs w:val="21"/>
              </w:rPr>
            </w:pPr>
            <w:r>
              <w:rPr>
                <w:rFonts w:hint="eastAsia"/>
                <w:color w:val="000000"/>
                <w:szCs w:val="21"/>
              </w:rPr>
              <w:t>3</w:t>
            </w:r>
          </w:p>
        </w:tc>
        <w:tc>
          <w:tcPr>
            <w:tcW w:w="2977" w:type="dxa"/>
            <w:gridSpan w:val="2"/>
            <w:tcBorders>
              <w:top w:val="single" w:color="auto" w:sz="8" w:space="0"/>
              <w:left w:val="nil"/>
              <w:bottom w:val="single" w:color="auto" w:sz="8" w:space="0"/>
              <w:right w:val="single" w:color="000000" w:sz="8" w:space="0"/>
            </w:tcBorders>
            <w:noWrap/>
            <w:vAlign w:val="center"/>
          </w:tcPr>
          <w:p w14:paraId="60B94ED4">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21372C13">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520F8F73">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3C11E121">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568523D8">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511F93F2">
            <w:pPr>
              <w:jc w:val="center"/>
              <w:rPr>
                <w:color w:val="000000"/>
                <w:szCs w:val="21"/>
              </w:rPr>
            </w:pPr>
            <w:r>
              <w:rPr>
                <w:rFonts w:hint="eastAsia"/>
                <w:color w:val="000000"/>
                <w:szCs w:val="21"/>
              </w:rPr>
              <w:t>　</w:t>
            </w:r>
          </w:p>
        </w:tc>
      </w:tr>
      <w:tr w14:paraId="02FD48C9">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659BE91C">
            <w:pPr>
              <w:jc w:val="center"/>
              <w:rPr>
                <w:color w:val="000000"/>
                <w:szCs w:val="21"/>
              </w:rPr>
            </w:pPr>
            <w:r>
              <w:rPr>
                <w:rFonts w:hint="eastAsia"/>
                <w:color w:val="000000"/>
                <w:szCs w:val="21"/>
              </w:rPr>
              <w:t>4</w:t>
            </w:r>
          </w:p>
        </w:tc>
        <w:tc>
          <w:tcPr>
            <w:tcW w:w="2977" w:type="dxa"/>
            <w:gridSpan w:val="2"/>
            <w:tcBorders>
              <w:top w:val="single" w:color="auto" w:sz="8" w:space="0"/>
              <w:left w:val="nil"/>
              <w:bottom w:val="single" w:color="auto" w:sz="8" w:space="0"/>
              <w:right w:val="single" w:color="000000" w:sz="8" w:space="0"/>
            </w:tcBorders>
            <w:noWrap/>
            <w:vAlign w:val="center"/>
          </w:tcPr>
          <w:p w14:paraId="381247F6">
            <w:pPr>
              <w:jc w:val="center"/>
              <w:rPr>
                <w:color w:val="000000"/>
                <w:szCs w:val="21"/>
              </w:rPr>
            </w:pPr>
          </w:p>
        </w:tc>
        <w:tc>
          <w:tcPr>
            <w:tcW w:w="993" w:type="dxa"/>
            <w:tcBorders>
              <w:top w:val="nil"/>
              <w:left w:val="nil"/>
              <w:bottom w:val="single" w:color="auto" w:sz="8" w:space="0"/>
              <w:right w:val="single" w:color="auto" w:sz="8" w:space="0"/>
            </w:tcBorders>
            <w:noWrap/>
            <w:vAlign w:val="center"/>
          </w:tcPr>
          <w:p w14:paraId="02B8C458">
            <w:pPr>
              <w:jc w:val="center"/>
              <w:rPr>
                <w:color w:val="000000"/>
                <w:szCs w:val="21"/>
              </w:rPr>
            </w:pPr>
          </w:p>
        </w:tc>
        <w:tc>
          <w:tcPr>
            <w:tcW w:w="426" w:type="dxa"/>
            <w:tcBorders>
              <w:top w:val="nil"/>
              <w:left w:val="nil"/>
              <w:bottom w:val="single" w:color="auto" w:sz="8" w:space="0"/>
              <w:right w:val="single" w:color="auto" w:sz="8" w:space="0"/>
            </w:tcBorders>
            <w:noWrap/>
            <w:vAlign w:val="center"/>
          </w:tcPr>
          <w:p w14:paraId="4CCD9576">
            <w:pPr>
              <w:jc w:val="center"/>
              <w:rPr>
                <w:color w:val="000000"/>
                <w:szCs w:val="21"/>
              </w:rPr>
            </w:pPr>
          </w:p>
        </w:tc>
        <w:tc>
          <w:tcPr>
            <w:tcW w:w="849" w:type="dxa"/>
            <w:tcBorders>
              <w:top w:val="nil"/>
              <w:left w:val="nil"/>
              <w:bottom w:val="single" w:color="auto" w:sz="8" w:space="0"/>
              <w:right w:val="single" w:color="auto" w:sz="8" w:space="0"/>
            </w:tcBorders>
            <w:noWrap/>
            <w:vAlign w:val="center"/>
          </w:tcPr>
          <w:p w14:paraId="20B653C9">
            <w:pPr>
              <w:jc w:val="center"/>
              <w:rPr>
                <w:color w:val="000000"/>
                <w:szCs w:val="21"/>
              </w:rPr>
            </w:pPr>
          </w:p>
        </w:tc>
        <w:tc>
          <w:tcPr>
            <w:tcW w:w="1701" w:type="dxa"/>
            <w:tcBorders>
              <w:top w:val="nil"/>
              <w:left w:val="nil"/>
              <w:bottom w:val="single" w:color="auto" w:sz="8" w:space="0"/>
              <w:right w:val="single" w:color="auto" w:sz="8" w:space="0"/>
            </w:tcBorders>
            <w:noWrap/>
            <w:vAlign w:val="center"/>
          </w:tcPr>
          <w:p w14:paraId="090B83AF">
            <w:pPr>
              <w:jc w:val="center"/>
              <w:rPr>
                <w:color w:val="000000"/>
                <w:szCs w:val="21"/>
              </w:rPr>
            </w:pPr>
          </w:p>
        </w:tc>
        <w:tc>
          <w:tcPr>
            <w:tcW w:w="2268" w:type="dxa"/>
            <w:tcBorders>
              <w:top w:val="nil"/>
              <w:left w:val="nil"/>
              <w:bottom w:val="single" w:color="auto" w:sz="8" w:space="0"/>
              <w:right w:val="single" w:color="auto" w:sz="8" w:space="0"/>
            </w:tcBorders>
            <w:noWrap/>
            <w:vAlign w:val="center"/>
          </w:tcPr>
          <w:p w14:paraId="19CD6FF1">
            <w:pPr>
              <w:jc w:val="center"/>
              <w:rPr>
                <w:color w:val="000000"/>
                <w:szCs w:val="21"/>
              </w:rPr>
            </w:pPr>
          </w:p>
        </w:tc>
      </w:tr>
      <w:tr w14:paraId="038BACD8">
        <w:tblPrEx>
          <w:tblCellMar>
            <w:top w:w="0" w:type="dxa"/>
            <w:left w:w="108" w:type="dxa"/>
            <w:bottom w:w="0" w:type="dxa"/>
            <w:right w:w="108" w:type="dxa"/>
          </w:tblCellMar>
        </w:tblPrEx>
        <w:trPr>
          <w:trHeight w:val="300" w:hRule="atLeast"/>
        </w:trPr>
        <w:tc>
          <w:tcPr>
            <w:tcW w:w="9781" w:type="dxa"/>
            <w:gridSpan w:val="8"/>
            <w:tcBorders>
              <w:top w:val="single" w:color="auto" w:sz="8" w:space="0"/>
              <w:left w:val="single" w:color="auto" w:sz="8" w:space="0"/>
              <w:bottom w:val="single" w:color="auto" w:sz="8" w:space="0"/>
              <w:right w:val="single" w:color="000000" w:sz="8" w:space="0"/>
            </w:tcBorders>
            <w:noWrap/>
            <w:vAlign w:val="center"/>
          </w:tcPr>
          <w:p w14:paraId="7BF9A2E5">
            <w:pPr>
              <w:jc w:val="center"/>
              <w:rPr>
                <w:color w:val="000000"/>
                <w:szCs w:val="21"/>
              </w:rPr>
            </w:pPr>
            <w:r>
              <w:rPr>
                <w:rFonts w:hint="eastAsia"/>
                <w:color w:val="000000"/>
                <w:szCs w:val="21"/>
              </w:rPr>
              <w:t>资格审查情况说明</w:t>
            </w:r>
          </w:p>
        </w:tc>
      </w:tr>
      <w:tr w14:paraId="47AAFFF8">
        <w:tblPrEx>
          <w:tblCellMar>
            <w:top w:w="0" w:type="dxa"/>
            <w:left w:w="108" w:type="dxa"/>
            <w:bottom w:w="0" w:type="dxa"/>
            <w:right w:w="108" w:type="dxa"/>
          </w:tblCellMar>
        </w:tblPrEx>
        <w:trPr>
          <w:trHeight w:val="20" w:hRule="exact"/>
        </w:trPr>
        <w:tc>
          <w:tcPr>
            <w:tcW w:w="567"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7B0D0896">
            <w:pPr>
              <w:rPr>
                <w:color w:val="000000"/>
                <w:szCs w:val="21"/>
              </w:rPr>
            </w:pPr>
            <w:r>
              <w:rPr>
                <w:rFonts w:hint="eastAsia"/>
                <w:color w:val="000000"/>
                <w:szCs w:val="21"/>
              </w:rPr>
              <w:t>（资质、业绩、技术、能力，投标保证金等方面）</w:t>
            </w:r>
          </w:p>
          <w:p w14:paraId="45596093">
            <w:pPr>
              <w:rPr>
                <w:szCs w:val="21"/>
              </w:rPr>
            </w:pPr>
          </w:p>
          <w:p w14:paraId="6ECFC8DA">
            <w:pPr>
              <w:tabs>
                <w:tab w:val="left" w:pos="3171"/>
              </w:tabs>
              <w:rPr>
                <w:szCs w:val="21"/>
              </w:rPr>
            </w:pPr>
          </w:p>
        </w:tc>
      </w:tr>
      <w:tr w14:paraId="1172813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FB81339">
            <w:pPr>
              <w:rPr>
                <w:color w:val="000000"/>
                <w:szCs w:val="21"/>
              </w:rPr>
            </w:pPr>
          </w:p>
        </w:tc>
      </w:tr>
      <w:tr w14:paraId="254680B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634FB85">
            <w:pPr>
              <w:rPr>
                <w:color w:val="000000"/>
                <w:szCs w:val="21"/>
              </w:rPr>
            </w:pPr>
          </w:p>
        </w:tc>
      </w:tr>
      <w:tr w14:paraId="1EA5F32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EA0EF24">
            <w:pPr>
              <w:rPr>
                <w:color w:val="000000"/>
                <w:szCs w:val="21"/>
              </w:rPr>
            </w:pPr>
          </w:p>
        </w:tc>
      </w:tr>
      <w:tr w14:paraId="126878D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A126EF2">
            <w:pPr>
              <w:rPr>
                <w:color w:val="000000"/>
                <w:szCs w:val="21"/>
              </w:rPr>
            </w:pPr>
          </w:p>
        </w:tc>
      </w:tr>
      <w:tr w14:paraId="100A001C">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8BF8DE1">
            <w:pPr>
              <w:rPr>
                <w:color w:val="000000"/>
                <w:szCs w:val="21"/>
              </w:rPr>
            </w:pPr>
          </w:p>
        </w:tc>
      </w:tr>
      <w:tr w14:paraId="58CD9BDC">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C081ACB">
            <w:pPr>
              <w:rPr>
                <w:color w:val="000000"/>
                <w:szCs w:val="21"/>
              </w:rPr>
            </w:pPr>
          </w:p>
        </w:tc>
      </w:tr>
      <w:tr w14:paraId="5003881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9ECCA5A">
            <w:pPr>
              <w:rPr>
                <w:color w:val="000000"/>
                <w:szCs w:val="21"/>
              </w:rPr>
            </w:pPr>
          </w:p>
        </w:tc>
      </w:tr>
      <w:tr w14:paraId="2DAB45D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48227F9">
            <w:pPr>
              <w:rPr>
                <w:color w:val="000000"/>
                <w:szCs w:val="21"/>
              </w:rPr>
            </w:pPr>
          </w:p>
        </w:tc>
      </w:tr>
      <w:tr w14:paraId="10C9E41A">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6C3F044">
            <w:pPr>
              <w:rPr>
                <w:color w:val="000000"/>
                <w:szCs w:val="21"/>
              </w:rPr>
            </w:pPr>
          </w:p>
        </w:tc>
      </w:tr>
      <w:tr w14:paraId="6DF1E3B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6F70DA4">
            <w:pPr>
              <w:rPr>
                <w:color w:val="000000"/>
                <w:szCs w:val="21"/>
              </w:rPr>
            </w:pPr>
          </w:p>
        </w:tc>
      </w:tr>
      <w:tr w14:paraId="0E607CDA">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E0EC0D4">
            <w:pPr>
              <w:rPr>
                <w:color w:val="000000"/>
                <w:szCs w:val="21"/>
              </w:rPr>
            </w:pPr>
          </w:p>
        </w:tc>
      </w:tr>
      <w:tr w14:paraId="1EA0BC9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039D14B">
            <w:pPr>
              <w:rPr>
                <w:color w:val="000000"/>
                <w:szCs w:val="21"/>
              </w:rPr>
            </w:pPr>
          </w:p>
        </w:tc>
      </w:tr>
      <w:tr w14:paraId="34FB784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C56C060">
            <w:pPr>
              <w:rPr>
                <w:color w:val="000000"/>
                <w:szCs w:val="21"/>
              </w:rPr>
            </w:pPr>
          </w:p>
        </w:tc>
      </w:tr>
      <w:tr w14:paraId="09534DE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8CD2F9F">
            <w:pPr>
              <w:rPr>
                <w:color w:val="000000"/>
                <w:szCs w:val="21"/>
              </w:rPr>
            </w:pPr>
          </w:p>
        </w:tc>
      </w:tr>
      <w:tr w14:paraId="28FE1FF5">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44FD226">
            <w:pPr>
              <w:rPr>
                <w:color w:val="000000"/>
                <w:szCs w:val="21"/>
              </w:rPr>
            </w:pPr>
          </w:p>
        </w:tc>
      </w:tr>
      <w:tr w14:paraId="20F6959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D8FB44D">
            <w:pPr>
              <w:rPr>
                <w:color w:val="000000"/>
                <w:szCs w:val="21"/>
              </w:rPr>
            </w:pPr>
          </w:p>
        </w:tc>
      </w:tr>
      <w:tr w14:paraId="2BA29AF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309CC3D">
            <w:pPr>
              <w:rPr>
                <w:color w:val="000000"/>
                <w:szCs w:val="21"/>
              </w:rPr>
            </w:pPr>
          </w:p>
        </w:tc>
      </w:tr>
      <w:tr w14:paraId="489B3E88">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D08CC66">
            <w:pPr>
              <w:rPr>
                <w:color w:val="000000"/>
                <w:szCs w:val="21"/>
              </w:rPr>
            </w:pPr>
          </w:p>
        </w:tc>
      </w:tr>
      <w:tr w14:paraId="4A45C41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A7DC045">
            <w:pPr>
              <w:rPr>
                <w:color w:val="000000"/>
                <w:szCs w:val="21"/>
              </w:rPr>
            </w:pPr>
          </w:p>
        </w:tc>
      </w:tr>
      <w:tr w14:paraId="44391DAA">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E2EE2A2">
            <w:pPr>
              <w:rPr>
                <w:color w:val="000000"/>
                <w:szCs w:val="21"/>
              </w:rPr>
            </w:pPr>
          </w:p>
        </w:tc>
      </w:tr>
      <w:tr w14:paraId="125D315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5D78AB9">
            <w:pPr>
              <w:rPr>
                <w:color w:val="000000"/>
                <w:szCs w:val="21"/>
              </w:rPr>
            </w:pPr>
          </w:p>
        </w:tc>
      </w:tr>
      <w:tr w14:paraId="75ADB955">
        <w:tblPrEx>
          <w:tblCellMar>
            <w:top w:w="0" w:type="dxa"/>
            <w:left w:w="108" w:type="dxa"/>
            <w:bottom w:w="0" w:type="dxa"/>
            <w:right w:w="108" w:type="dxa"/>
          </w:tblCellMar>
        </w:tblPrEx>
        <w:trPr>
          <w:trHeight w:val="312" w:hRule="atLeast"/>
        </w:trPr>
        <w:tc>
          <w:tcPr>
            <w:tcW w:w="184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27FED8DF">
            <w:pPr>
              <w:jc w:val="center"/>
              <w:rPr>
                <w:color w:val="000000"/>
                <w:szCs w:val="21"/>
              </w:rPr>
            </w:pPr>
            <w:r>
              <w:rPr>
                <w:rFonts w:hint="eastAsia"/>
                <w:color w:val="000000"/>
                <w:szCs w:val="21"/>
              </w:rPr>
              <w:t>资格审查人员</w:t>
            </w:r>
          </w:p>
        </w:tc>
        <w:tc>
          <w:tcPr>
            <w:tcW w:w="7938"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6EC6F9DC">
            <w:pPr>
              <w:jc w:val="center"/>
              <w:rPr>
                <w:color w:val="000000"/>
                <w:szCs w:val="21"/>
              </w:rPr>
            </w:pPr>
            <w:r>
              <w:rPr>
                <w:rFonts w:hint="eastAsia"/>
                <w:color w:val="000000"/>
                <w:szCs w:val="21"/>
              </w:rPr>
              <w:t>　</w:t>
            </w:r>
          </w:p>
        </w:tc>
      </w:tr>
      <w:tr w14:paraId="79898161">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6F8770D4">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0016AB2A">
            <w:pPr>
              <w:rPr>
                <w:color w:val="000000"/>
                <w:szCs w:val="21"/>
              </w:rPr>
            </w:pPr>
          </w:p>
        </w:tc>
      </w:tr>
      <w:tr w14:paraId="07EF739A">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0C5E71DA">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55F071AF">
            <w:pPr>
              <w:rPr>
                <w:color w:val="000000"/>
                <w:szCs w:val="21"/>
              </w:rPr>
            </w:pPr>
          </w:p>
        </w:tc>
      </w:tr>
      <w:tr w14:paraId="1447A2CD">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03B0E36A">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37029251">
            <w:pPr>
              <w:rPr>
                <w:color w:val="000000"/>
                <w:szCs w:val="21"/>
              </w:rPr>
            </w:pPr>
          </w:p>
        </w:tc>
      </w:tr>
      <w:tr w14:paraId="6EF1F35F">
        <w:trPr>
          <w:trHeight w:val="312" w:hRule="atLeast"/>
        </w:trPr>
        <w:tc>
          <w:tcPr>
            <w:tcW w:w="1843"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7375B177">
            <w:pPr>
              <w:rPr>
                <w:color w:val="000000"/>
                <w:szCs w:val="21"/>
              </w:rPr>
            </w:pPr>
          </w:p>
        </w:tc>
        <w:tc>
          <w:tcPr>
            <w:tcW w:w="7938"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6DA5E47A">
            <w:pPr>
              <w:rPr>
                <w:color w:val="000000"/>
                <w:szCs w:val="21"/>
              </w:rPr>
            </w:pPr>
          </w:p>
        </w:tc>
      </w:tr>
      <w:tr w14:paraId="48655693">
        <w:tblPrEx>
          <w:tblCellMar>
            <w:top w:w="0" w:type="dxa"/>
            <w:left w:w="108" w:type="dxa"/>
            <w:bottom w:w="0" w:type="dxa"/>
            <w:right w:w="108" w:type="dxa"/>
          </w:tblCellMar>
        </w:tblPrEx>
        <w:trPr>
          <w:trHeight w:val="558" w:hRule="atLeast"/>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1CC1142">
            <w:pPr>
              <w:jc w:val="center"/>
              <w:rPr>
                <w:color w:val="000000"/>
                <w:szCs w:val="21"/>
              </w:rPr>
            </w:pPr>
            <w:r>
              <w:rPr>
                <w:rFonts w:hint="eastAsia"/>
                <w:color w:val="000000"/>
                <w:sz w:val="22"/>
              </w:rPr>
              <w:t>工作人员</w:t>
            </w:r>
          </w:p>
        </w:tc>
        <w:tc>
          <w:tcPr>
            <w:tcW w:w="7938" w:type="dxa"/>
            <w:gridSpan w:val="6"/>
            <w:tcBorders>
              <w:top w:val="single" w:color="auto" w:sz="4" w:space="0"/>
              <w:left w:val="single" w:color="auto" w:sz="4" w:space="0"/>
              <w:bottom w:val="single" w:color="auto" w:sz="4" w:space="0"/>
              <w:right w:val="single" w:color="auto" w:sz="4" w:space="0"/>
            </w:tcBorders>
            <w:noWrap w:val="0"/>
            <w:vAlign w:val="center"/>
          </w:tcPr>
          <w:p w14:paraId="01A38400">
            <w:pPr>
              <w:rPr>
                <w:color w:val="000000"/>
                <w:szCs w:val="21"/>
              </w:rPr>
            </w:pPr>
            <w:r>
              <w:rPr>
                <w:rFonts w:hint="eastAsia"/>
                <w:color w:val="000000"/>
                <w:sz w:val="22"/>
              </w:rPr>
              <w:t>　</w:t>
            </w:r>
          </w:p>
        </w:tc>
      </w:tr>
    </w:tbl>
    <w:p w14:paraId="71FE6643">
      <w:pPr>
        <w:pStyle w:val="64"/>
        <w:ind w:left="0" w:firstLine="0"/>
        <w:rPr>
          <w:rFonts w:hint="eastAsia" w:cs="宋体"/>
          <w:b w:val="0"/>
          <w:bCs w:val="0"/>
          <w:sz w:val="30"/>
          <w:szCs w:val="30"/>
        </w:rPr>
      </w:pPr>
      <w:r>
        <w:rPr>
          <w:color w:val="000000"/>
          <w:szCs w:val="21"/>
        </w:rPr>
        <w:br w:type="page"/>
      </w:r>
      <w:r>
        <w:rPr>
          <w:rFonts w:hint="eastAsia" w:cs="宋体"/>
          <w:b w:val="0"/>
          <w:bCs w:val="0"/>
          <w:sz w:val="30"/>
          <w:szCs w:val="30"/>
        </w:rPr>
        <w:t>2. 评分表</w:t>
      </w:r>
    </w:p>
    <w:p w14:paraId="210B643C">
      <w:pPr>
        <w:pStyle w:val="64"/>
        <w:tabs>
          <w:tab w:val="left" w:pos="2342"/>
        </w:tabs>
        <w:jc w:val="both"/>
      </w:pPr>
      <w:r>
        <w:tab/>
      </w:r>
      <w:r>
        <w:tab/>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190"/>
        <w:gridCol w:w="5994"/>
      </w:tblGrid>
      <w:tr w14:paraId="54A2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noWrap w:val="0"/>
            <w:vAlign w:val="center"/>
          </w:tcPr>
          <w:p w14:paraId="3C52453C">
            <w:pPr>
              <w:jc w:val="center"/>
              <w:rPr>
                <w:rFonts w:cs="仿宋"/>
                <w:b/>
              </w:rPr>
            </w:pPr>
            <w:r>
              <w:rPr>
                <w:rFonts w:hint="eastAsia" w:cs="仿宋"/>
                <w:b/>
              </w:rPr>
              <w:t>项目</w:t>
            </w:r>
          </w:p>
        </w:tc>
        <w:tc>
          <w:tcPr>
            <w:tcW w:w="2190" w:type="dxa"/>
            <w:noWrap w:val="0"/>
            <w:vAlign w:val="center"/>
          </w:tcPr>
          <w:p w14:paraId="4C3F2FB4">
            <w:pPr>
              <w:jc w:val="center"/>
              <w:rPr>
                <w:rFonts w:hint="eastAsia" w:cs="仿宋"/>
                <w:b/>
              </w:rPr>
            </w:pPr>
            <w:r>
              <w:rPr>
                <w:rFonts w:hint="eastAsia" w:cs="仿宋"/>
                <w:b/>
              </w:rPr>
              <w:t>分值</w:t>
            </w:r>
          </w:p>
        </w:tc>
        <w:tc>
          <w:tcPr>
            <w:tcW w:w="5994" w:type="dxa"/>
            <w:noWrap w:val="0"/>
            <w:vAlign w:val="center"/>
          </w:tcPr>
          <w:p w14:paraId="5BA5CFDC">
            <w:pPr>
              <w:spacing w:line="360" w:lineRule="auto"/>
              <w:jc w:val="center"/>
              <w:rPr>
                <w:rFonts w:cs="仿宋"/>
                <w:b/>
              </w:rPr>
            </w:pPr>
            <w:r>
              <w:rPr>
                <w:rFonts w:hint="eastAsia" w:cs="仿宋"/>
                <w:b/>
              </w:rPr>
              <w:t>评分细则</w:t>
            </w:r>
          </w:p>
        </w:tc>
      </w:tr>
      <w:tr w14:paraId="5B3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71" w:type="dxa"/>
            <w:noWrap w:val="0"/>
            <w:vAlign w:val="center"/>
          </w:tcPr>
          <w:p w14:paraId="7442D920">
            <w:pPr>
              <w:jc w:val="center"/>
              <w:rPr>
                <w:rFonts w:hint="eastAsia"/>
                <w:lang w:val="en-US" w:eastAsia="zh-CN"/>
              </w:rPr>
            </w:pPr>
            <w:r>
              <w:rPr>
                <w:rFonts w:hint="eastAsia"/>
                <w:lang w:val="en-US" w:eastAsia="zh-CN"/>
              </w:rPr>
              <w:t>业绩</w:t>
            </w:r>
          </w:p>
        </w:tc>
        <w:tc>
          <w:tcPr>
            <w:tcW w:w="2190" w:type="dxa"/>
            <w:noWrap w:val="0"/>
            <w:vAlign w:val="center"/>
          </w:tcPr>
          <w:p w14:paraId="1A4C4DF7">
            <w:pPr>
              <w:jc w:val="center"/>
              <w:rPr>
                <w:rFonts w:cs="仿宋"/>
                <w:bCs/>
              </w:rPr>
            </w:pPr>
            <w:r>
              <w:rPr>
                <w:rFonts w:hint="eastAsia" w:cs="仿宋"/>
                <w:bCs/>
                <w:lang w:val="en-US" w:eastAsia="zh-CN"/>
              </w:rPr>
              <w:t>5</w:t>
            </w:r>
            <w:r>
              <w:rPr>
                <w:rFonts w:hint="eastAsia" w:cs="仿宋"/>
                <w:bCs/>
              </w:rPr>
              <w:t>分</w:t>
            </w:r>
          </w:p>
        </w:tc>
        <w:tc>
          <w:tcPr>
            <w:tcW w:w="5994" w:type="dxa"/>
            <w:noWrap w:val="0"/>
            <w:vAlign w:val="center"/>
          </w:tcPr>
          <w:p w14:paraId="09306033">
            <w:pPr>
              <w:rPr>
                <w:rFonts w:hint="default" w:eastAsia="宋体" w:cs="仿宋"/>
                <w:bCs/>
                <w:lang w:val="en-US" w:eastAsia="zh-CN"/>
              </w:rPr>
            </w:pPr>
            <w:r>
              <w:rPr>
                <w:rFonts w:hint="eastAsia" w:cs="仿宋"/>
                <w:bCs/>
                <w:lang w:val="en-US" w:eastAsia="zh-CN"/>
              </w:rPr>
              <w:t>每提供一份起重设备维修业绩（2023年6月1日至今）得1分，最高5分</w:t>
            </w:r>
          </w:p>
        </w:tc>
      </w:tr>
      <w:tr w14:paraId="1131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71" w:type="dxa"/>
            <w:noWrap w:val="0"/>
            <w:vAlign w:val="center"/>
          </w:tcPr>
          <w:p w14:paraId="15C8214C">
            <w:pPr>
              <w:pStyle w:val="45"/>
              <w:ind w:left="0" w:leftChars="0" w:firstLine="0" w:firstLineChars="0"/>
              <w:jc w:val="center"/>
              <w:rPr>
                <w:rFonts w:hint="default" w:cs="仿宋"/>
                <w:bCs/>
                <w:lang w:val="en-US" w:eastAsia="zh-CN"/>
              </w:rPr>
            </w:pPr>
            <w:r>
              <w:rPr>
                <w:rFonts w:hint="eastAsia" w:cs="仿宋"/>
                <w:bCs/>
                <w:lang w:val="en-US" w:eastAsia="zh-CN"/>
              </w:rPr>
              <w:t>维修时间</w:t>
            </w:r>
          </w:p>
        </w:tc>
        <w:tc>
          <w:tcPr>
            <w:tcW w:w="2190" w:type="dxa"/>
            <w:noWrap w:val="0"/>
            <w:vAlign w:val="center"/>
          </w:tcPr>
          <w:p w14:paraId="477B6E80">
            <w:pPr>
              <w:jc w:val="center"/>
              <w:rPr>
                <w:rFonts w:hint="default" w:eastAsia="宋体" w:cs="仿宋"/>
                <w:bCs/>
                <w:lang w:val="en-US" w:eastAsia="zh-CN"/>
              </w:rPr>
            </w:pPr>
            <w:r>
              <w:rPr>
                <w:rFonts w:hint="eastAsia" w:cs="仿宋"/>
                <w:bCs/>
                <w:lang w:val="en-US" w:eastAsia="zh-CN"/>
              </w:rPr>
              <w:t>5分</w:t>
            </w:r>
          </w:p>
        </w:tc>
        <w:tc>
          <w:tcPr>
            <w:tcW w:w="5994" w:type="dxa"/>
            <w:noWrap w:val="0"/>
            <w:vAlign w:val="center"/>
          </w:tcPr>
          <w:p w14:paraId="4BE7468A">
            <w:pPr>
              <w:rPr>
                <w:rFonts w:hint="default" w:cs="仿宋"/>
                <w:bCs/>
                <w:lang w:val="en-US" w:eastAsia="zh-CN"/>
              </w:rPr>
            </w:pPr>
            <w:r>
              <w:rPr>
                <w:rFonts w:hint="eastAsia" w:cs="仿宋"/>
                <w:bCs/>
                <w:lang w:val="en-US" w:eastAsia="zh-CN"/>
              </w:rPr>
              <w:t>单次维修周期以15日历天为基础，每缩短一天得1分，最高5分</w:t>
            </w:r>
          </w:p>
        </w:tc>
      </w:tr>
      <w:tr w14:paraId="5950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71" w:type="dxa"/>
            <w:noWrap w:val="0"/>
            <w:vAlign w:val="center"/>
          </w:tcPr>
          <w:p w14:paraId="6318BFDB">
            <w:pPr>
              <w:jc w:val="center"/>
              <w:rPr>
                <w:rFonts w:cs="仿宋"/>
                <w:bCs/>
              </w:rPr>
            </w:pPr>
            <w:r>
              <w:rPr>
                <w:rFonts w:hint="eastAsia" w:cs="仿宋"/>
                <w:bCs/>
                <w:lang w:val="en-US" w:eastAsia="zh-CN"/>
              </w:rPr>
              <w:t>综合</w:t>
            </w:r>
            <w:r>
              <w:rPr>
                <w:rFonts w:hint="eastAsia" w:cs="仿宋"/>
                <w:bCs/>
              </w:rPr>
              <w:t>评分</w:t>
            </w:r>
          </w:p>
        </w:tc>
        <w:tc>
          <w:tcPr>
            <w:tcW w:w="2190" w:type="dxa"/>
            <w:noWrap w:val="0"/>
            <w:vAlign w:val="center"/>
          </w:tcPr>
          <w:p w14:paraId="192DAA65">
            <w:pPr>
              <w:jc w:val="center"/>
              <w:rPr>
                <w:rFonts w:hint="default" w:eastAsia="宋体" w:cs="仿宋"/>
                <w:bCs/>
                <w:lang w:val="en-US" w:eastAsia="zh-CN"/>
              </w:rPr>
            </w:pPr>
            <w:r>
              <w:rPr>
                <w:rFonts w:hint="eastAsia" w:cs="仿宋"/>
                <w:bCs/>
                <w:lang w:val="en-US" w:eastAsia="zh-CN"/>
              </w:rPr>
              <w:t>10分</w:t>
            </w:r>
          </w:p>
        </w:tc>
        <w:tc>
          <w:tcPr>
            <w:tcW w:w="5994" w:type="dxa"/>
            <w:noWrap w:val="0"/>
            <w:vAlign w:val="center"/>
          </w:tcPr>
          <w:p w14:paraId="5B492F85">
            <w:pPr>
              <w:rPr>
                <w:rFonts w:hint="default" w:cs="仿宋"/>
                <w:bCs/>
                <w:lang w:val="en-US" w:eastAsia="zh-CN"/>
              </w:rPr>
            </w:pPr>
            <w:r>
              <w:rPr>
                <w:rFonts w:hint="eastAsia" w:cs="仿宋"/>
                <w:bCs/>
                <w:lang w:val="en-US" w:eastAsia="zh-CN"/>
              </w:rPr>
              <w:t>评委根据投标方的企业情况、服务响应程度、维修所用材料的品牌质量、单价与市场的偏离度等综合打分，最高10分</w:t>
            </w:r>
          </w:p>
        </w:tc>
      </w:tr>
      <w:tr w14:paraId="7BA8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271" w:type="dxa"/>
            <w:noWrap w:val="0"/>
            <w:vAlign w:val="center"/>
          </w:tcPr>
          <w:p w14:paraId="538CB5B1">
            <w:pPr>
              <w:jc w:val="center"/>
              <w:rPr>
                <w:rFonts w:hint="eastAsia" w:eastAsia="宋体"/>
                <w:lang w:eastAsia="zh-CN"/>
              </w:rPr>
            </w:pPr>
            <w:r>
              <w:rPr>
                <w:rFonts w:hint="eastAsia"/>
              </w:rPr>
              <w:t>投标报价</w:t>
            </w:r>
            <w:r>
              <w:rPr>
                <w:rFonts w:hint="eastAsia"/>
                <w:lang w:val="en-US" w:eastAsia="zh-CN"/>
              </w:rPr>
              <w:t>评分</w:t>
            </w:r>
          </w:p>
        </w:tc>
        <w:tc>
          <w:tcPr>
            <w:tcW w:w="2190" w:type="dxa"/>
            <w:noWrap w:val="0"/>
            <w:vAlign w:val="center"/>
          </w:tcPr>
          <w:p w14:paraId="68B814CD">
            <w:pPr>
              <w:spacing w:line="360" w:lineRule="auto"/>
              <w:jc w:val="center"/>
              <w:rPr>
                <w:rFonts w:cs="仿宋"/>
                <w:bCs/>
              </w:rPr>
            </w:pPr>
            <w:r>
              <w:rPr>
                <w:rFonts w:hint="eastAsia" w:cs="仿宋"/>
                <w:bCs/>
                <w:lang w:val="en-US" w:eastAsia="zh-CN"/>
              </w:rPr>
              <w:t>80</w:t>
            </w:r>
            <w:r>
              <w:rPr>
                <w:rFonts w:hint="eastAsia" w:cs="仿宋"/>
                <w:bCs/>
              </w:rPr>
              <w:t>分</w:t>
            </w:r>
          </w:p>
        </w:tc>
        <w:tc>
          <w:tcPr>
            <w:tcW w:w="5994" w:type="dxa"/>
            <w:noWrap w:val="0"/>
            <w:vAlign w:val="center"/>
          </w:tcPr>
          <w:p w14:paraId="79A6584E">
            <w:pPr>
              <w:tabs>
                <w:tab w:val="right" w:pos="8306"/>
              </w:tabs>
              <w:spacing w:line="400" w:lineRule="exact"/>
              <w:ind w:left="-2" w:leftChars="-1"/>
              <w:rPr>
                <w:rFonts w:cs="仿宋"/>
                <w:bCs/>
              </w:rPr>
            </w:pPr>
            <w:r>
              <w:rPr>
                <w:rFonts w:hint="eastAsia" w:cs="仿宋"/>
                <w:bCs/>
              </w:rPr>
              <w:t>1.评标基准价为有效投标人的最低报价值。</w:t>
            </w:r>
          </w:p>
          <w:p w14:paraId="792D4596">
            <w:pPr>
              <w:tabs>
                <w:tab w:val="right" w:pos="8306"/>
              </w:tabs>
              <w:spacing w:line="400" w:lineRule="exact"/>
              <w:rPr>
                <w:rFonts w:ascii="宋体" w:hAnsi="宋体" w:cs="仿宋"/>
                <w:bCs/>
                <w:kern w:val="0"/>
                <w:sz w:val="24"/>
              </w:rPr>
            </w:pPr>
            <w:r>
              <w:rPr>
                <w:rFonts w:hint="eastAsia" w:cs="仿宋"/>
                <w:bCs/>
              </w:rPr>
              <w:t>2.投标报价分值=评标基准价/投标报价*</w:t>
            </w:r>
            <w:r>
              <w:rPr>
                <w:rFonts w:hint="eastAsia" w:cs="仿宋"/>
                <w:bCs/>
                <w:lang w:val="en-US" w:eastAsia="zh-CN"/>
              </w:rPr>
              <w:t>80</w:t>
            </w:r>
            <w:r>
              <w:rPr>
                <w:rFonts w:hint="eastAsia" w:cs="仿宋"/>
                <w:bCs/>
              </w:rPr>
              <w:t>（最高</w:t>
            </w:r>
            <w:r>
              <w:rPr>
                <w:rFonts w:hint="eastAsia" w:cs="仿宋"/>
                <w:bCs/>
                <w:lang w:val="en-US" w:eastAsia="zh-CN"/>
              </w:rPr>
              <w:t>80</w:t>
            </w:r>
            <w:r>
              <w:rPr>
                <w:rFonts w:hint="eastAsia" w:cs="仿宋"/>
                <w:bCs/>
              </w:rPr>
              <w:t>分）</w:t>
            </w:r>
          </w:p>
        </w:tc>
      </w:tr>
    </w:tbl>
    <w:p w14:paraId="7627A021">
      <w:pPr>
        <w:pStyle w:val="57"/>
        <w:widowControl/>
        <w:spacing w:beforeLines="0" w:line="300" w:lineRule="auto"/>
        <w:ind w:left="1233" w:leftChars="514" w:firstLine="660" w:firstLineChars="150"/>
        <w:jc w:val="both"/>
        <w:rPr>
          <w:color w:val="000000"/>
          <w:kern w:val="0"/>
          <w:szCs w:val="21"/>
        </w:rPr>
      </w:pPr>
    </w:p>
    <w:p w14:paraId="44FEB254">
      <w:pPr>
        <w:spacing w:before="156" w:beforeLines="50" w:after="156" w:afterLines="50" w:line="480" w:lineRule="exact"/>
        <w:jc w:val="center"/>
        <w:rPr>
          <w:rFonts w:ascii="宋体" w:hAnsi="宋体"/>
          <w:color w:val="000000"/>
          <w:sz w:val="28"/>
          <w:szCs w:val="28"/>
        </w:rPr>
      </w:pPr>
      <w:r>
        <w:rPr>
          <w:rFonts w:hint="eastAsia" w:ascii="宋体" w:hAnsi="宋体"/>
          <w:color w:val="000000"/>
          <w:sz w:val="28"/>
          <w:szCs w:val="28"/>
        </w:rPr>
        <w:t>废 标 条 件</w:t>
      </w:r>
    </w:p>
    <w:p w14:paraId="74D88F3F">
      <w:pPr>
        <w:spacing w:before="156" w:beforeLines="50" w:after="156" w:afterLines="50" w:line="480" w:lineRule="exact"/>
        <w:jc w:val="left"/>
        <w:rPr>
          <w:rFonts w:ascii="宋体" w:hAnsi="宋体"/>
          <w:color w:val="000000"/>
          <w:szCs w:val="21"/>
        </w:rPr>
      </w:pPr>
      <w:r>
        <w:rPr>
          <w:rFonts w:hint="eastAsia" w:ascii="宋体" w:hAnsi="宋体"/>
          <w:color w:val="000000"/>
          <w:szCs w:val="21"/>
        </w:rPr>
        <w:t>B0.总则</w:t>
      </w:r>
    </w:p>
    <w:p w14:paraId="05EEC6A2">
      <w:pPr>
        <w:spacing w:before="156" w:beforeLines="50" w:after="156" w:afterLines="50" w:line="480" w:lineRule="exact"/>
        <w:ind w:firstLine="480" w:firstLineChars="200"/>
        <w:jc w:val="left"/>
        <w:rPr>
          <w:rFonts w:ascii="宋体" w:hAnsi="宋体"/>
          <w:color w:val="000000"/>
          <w:szCs w:val="21"/>
        </w:rPr>
      </w:pPr>
      <w:r>
        <w:rPr>
          <w:rFonts w:hint="eastAsia" w:ascii="宋体" w:hAnsi="宋体"/>
          <w:color w:val="000000"/>
          <w:szCs w:val="21"/>
        </w:rPr>
        <w:t>本附件所集中列示的废标条件，是本章“评标办法”的组成部分，是对第二章“投标人须知”和本章正文部分所规定的废标条件的总结和补充。</w:t>
      </w:r>
    </w:p>
    <w:p w14:paraId="5200AF46">
      <w:pPr>
        <w:spacing w:line="480" w:lineRule="exact"/>
        <w:jc w:val="left"/>
        <w:rPr>
          <w:rFonts w:ascii="宋体" w:hAnsi="宋体"/>
          <w:color w:val="000000"/>
          <w:szCs w:val="21"/>
        </w:rPr>
      </w:pPr>
      <w:r>
        <w:rPr>
          <w:rFonts w:hint="eastAsia" w:ascii="宋体" w:hAnsi="宋体"/>
          <w:color w:val="000000"/>
          <w:szCs w:val="21"/>
        </w:rPr>
        <w:t xml:space="preserve">B1.废标条件 </w:t>
      </w:r>
    </w:p>
    <w:p w14:paraId="597BD190">
      <w:pPr>
        <w:spacing w:line="480" w:lineRule="exact"/>
        <w:jc w:val="left"/>
        <w:rPr>
          <w:rFonts w:ascii="宋体" w:hAnsi="宋体"/>
          <w:color w:val="000000"/>
          <w:szCs w:val="21"/>
        </w:rPr>
      </w:pPr>
      <w:r>
        <w:rPr>
          <w:rFonts w:hint="eastAsia" w:ascii="宋体" w:hAnsi="宋体"/>
          <w:color w:val="000000"/>
          <w:szCs w:val="21"/>
        </w:rPr>
        <w:t xml:space="preserve">    投标人或其投标文件有下列情形之一的，其投标作废标处理：</w:t>
      </w:r>
    </w:p>
    <w:p w14:paraId="077C9922">
      <w:pPr>
        <w:spacing w:line="480" w:lineRule="exact"/>
        <w:ind w:firstLine="480" w:firstLineChars="200"/>
        <w:jc w:val="left"/>
        <w:rPr>
          <w:rFonts w:ascii="宋体" w:hAnsi="宋体"/>
          <w:color w:val="000000"/>
          <w:szCs w:val="21"/>
        </w:rPr>
      </w:pPr>
      <w:r>
        <w:rPr>
          <w:rFonts w:hint="eastAsia" w:ascii="宋体" w:hAnsi="宋体"/>
          <w:color w:val="000000"/>
          <w:szCs w:val="21"/>
        </w:rPr>
        <w:t>B1.1有第二章“投标人须知”第1.4.3项规定的任何一种情形的。</w:t>
      </w:r>
    </w:p>
    <w:p w14:paraId="5F5520C5">
      <w:pPr>
        <w:spacing w:line="480" w:lineRule="exact"/>
        <w:ind w:firstLine="480" w:firstLineChars="200"/>
        <w:jc w:val="left"/>
        <w:rPr>
          <w:rFonts w:ascii="宋体" w:hAnsi="宋体"/>
          <w:color w:val="000000"/>
          <w:szCs w:val="21"/>
        </w:rPr>
      </w:pPr>
      <w:r>
        <w:rPr>
          <w:rFonts w:hint="eastAsia" w:ascii="宋体" w:hAnsi="宋体"/>
          <w:color w:val="000000"/>
          <w:szCs w:val="21"/>
        </w:rPr>
        <w:t>B1.2 有串通投标或弄虚作假或其他违法行为的，详见下款：</w:t>
      </w:r>
    </w:p>
    <w:p w14:paraId="0C6FCA30">
      <w:pPr>
        <w:spacing w:line="480" w:lineRule="exact"/>
        <w:ind w:firstLine="480" w:firstLineChars="200"/>
        <w:jc w:val="left"/>
        <w:rPr>
          <w:rFonts w:ascii="宋体" w:hAnsi="宋体"/>
          <w:bCs/>
          <w:color w:val="000000"/>
          <w:kern w:val="0"/>
          <w:szCs w:val="21"/>
        </w:rPr>
      </w:pPr>
      <w:r>
        <w:rPr>
          <w:rFonts w:hint="eastAsia" w:ascii="宋体" w:hAnsi="宋体"/>
          <w:bCs/>
          <w:color w:val="000000"/>
          <w:kern w:val="0"/>
          <w:szCs w:val="21"/>
        </w:rPr>
        <w:t>B1.2.1投标人之间协商投标报价等投标文件的实质性内容；</w:t>
      </w:r>
    </w:p>
    <w:p w14:paraId="699B8726">
      <w:pPr>
        <w:spacing w:line="480" w:lineRule="exact"/>
        <w:ind w:firstLine="480" w:firstLineChars="200"/>
        <w:jc w:val="left"/>
        <w:rPr>
          <w:rFonts w:ascii="宋体" w:hAnsi="宋体"/>
          <w:bCs/>
          <w:color w:val="000000"/>
          <w:kern w:val="0"/>
          <w:szCs w:val="21"/>
        </w:rPr>
      </w:pPr>
      <w:r>
        <w:rPr>
          <w:rFonts w:hint="eastAsia" w:ascii="宋体" w:hAnsi="宋体"/>
          <w:bCs/>
          <w:color w:val="000000"/>
          <w:kern w:val="0"/>
          <w:szCs w:val="21"/>
        </w:rPr>
        <w:t>B1.2.2投标人之间约定中标人；</w:t>
      </w:r>
    </w:p>
    <w:p w14:paraId="7786BC26">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 xml:space="preserve"> B1.2.3投标人之间约定部分投标人放弃投标或者中标；</w:t>
      </w:r>
    </w:p>
    <w:p w14:paraId="7319E1D2">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 xml:space="preserve"> B1.2.5投标人之间为谋取中标或者排斥特定投标人而采取的其他联合行动；</w:t>
      </w:r>
    </w:p>
    <w:p w14:paraId="43CB248F">
      <w:pPr>
        <w:autoSpaceDE w:val="0"/>
        <w:autoSpaceDN w:val="0"/>
        <w:spacing w:line="500" w:lineRule="exact"/>
        <w:ind w:firstLine="484" w:firstLineChars="202"/>
        <w:jc w:val="left"/>
        <w:rPr>
          <w:rFonts w:ascii="宋体" w:hAnsi="宋体"/>
          <w:bCs/>
          <w:color w:val="000000"/>
          <w:kern w:val="0"/>
          <w:szCs w:val="21"/>
        </w:rPr>
      </w:pPr>
      <w:r>
        <w:rPr>
          <w:rFonts w:hint="eastAsia" w:ascii="宋体" w:hAnsi="宋体"/>
          <w:bCs/>
          <w:color w:val="000000"/>
          <w:kern w:val="0"/>
          <w:szCs w:val="21"/>
        </w:rPr>
        <w:t>B1.2.6不同投标人的投标文件由同一单位或者个人编制；</w:t>
      </w:r>
    </w:p>
    <w:p w14:paraId="087F0125">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 xml:space="preserve"> B1.2.7不同投标人委托同一单位或者个人办理投标事宜；</w:t>
      </w:r>
    </w:p>
    <w:p w14:paraId="570139A3">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 xml:space="preserve"> B1.2.8不同投标人的投标文件载明的项目管理成员为同一人；</w:t>
      </w:r>
    </w:p>
    <w:p w14:paraId="2828B1DE">
      <w:pPr>
        <w:autoSpaceDE w:val="0"/>
        <w:autoSpaceDN w:val="0"/>
        <w:spacing w:line="500" w:lineRule="exact"/>
        <w:ind w:firstLine="360" w:firstLineChars="150"/>
        <w:jc w:val="left"/>
        <w:rPr>
          <w:rFonts w:ascii="宋体" w:hAnsi="宋体"/>
          <w:bCs/>
          <w:color w:val="000000"/>
          <w:kern w:val="0"/>
          <w:szCs w:val="21"/>
        </w:rPr>
      </w:pPr>
      <w:r>
        <w:rPr>
          <w:rFonts w:hint="eastAsia" w:ascii="宋体" w:hAnsi="宋体"/>
          <w:bCs/>
          <w:color w:val="000000"/>
          <w:kern w:val="0"/>
          <w:szCs w:val="21"/>
        </w:rPr>
        <w:t xml:space="preserve"> B1.2.9 不同投标人聘请同一个人为其投标提供技术或者经济咨询服务的，但招标工程本身要求采用专有技术的除外；</w:t>
      </w:r>
    </w:p>
    <w:p w14:paraId="0BCB281A">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B1.2.10不同投标人的投标文件异常一致或者投标报价呈规律性差异；</w:t>
      </w:r>
    </w:p>
    <w:p w14:paraId="045B0639">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B1.2.11不同投标人的投标文件错漏之处一致的；</w:t>
      </w:r>
    </w:p>
    <w:p w14:paraId="3FEC5EF6">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B1.2.12不同投标人的投标文件相互混装；</w:t>
      </w:r>
    </w:p>
    <w:p w14:paraId="18A54EE7">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B1.2.13不同投标人的投标文件由同一台电脑编制或者同一台附属设备打印；</w:t>
      </w:r>
    </w:p>
    <w:p w14:paraId="67881116">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B1.2.14不同投标人的投标保证金从同一单位或者个人的账户转出；</w:t>
      </w:r>
    </w:p>
    <w:p w14:paraId="4CB13381">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B1.2.15不同投标人使用同一个人或者企业资金交纳投标保证金或者投标保函的反担保的；</w:t>
      </w:r>
    </w:p>
    <w:p w14:paraId="3A7E90B3">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B1.2.16使用伪造、变造的许可证件；</w:t>
      </w:r>
    </w:p>
    <w:p w14:paraId="4A00A652">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B1.2.17提供虚假的财务状况或者业绩；</w:t>
      </w:r>
    </w:p>
    <w:p w14:paraId="0126E027">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B1.2.18提供虚假的项目负责人或者主要技术人员简历、劳动关系证明；</w:t>
      </w:r>
    </w:p>
    <w:p w14:paraId="0074369A">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B1.2.19提供虚假的信用状况；</w:t>
      </w:r>
    </w:p>
    <w:p w14:paraId="57710391">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B1.2.20其他弄虚作假的行为；</w:t>
      </w:r>
    </w:p>
    <w:p w14:paraId="26F5DB6A">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B1.2.21招标人在开标前开启投标文件并将有关信息泄露给其他投标人；</w:t>
      </w:r>
    </w:p>
    <w:p w14:paraId="1E2710B8">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B1.2.22招标人直接或者间接向投标人泄露标底、评标委员会成员等信息；</w:t>
      </w:r>
    </w:p>
    <w:p w14:paraId="3CD35783">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B1.2.23招标人明示或者暗示投标人压低或者抬高投标报价；</w:t>
      </w:r>
    </w:p>
    <w:p w14:paraId="2C84BBCA">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B1.2.24招标人授意投标人撤换、修改投标文件；</w:t>
      </w:r>
    </w:p>
    <w:p w14:paraId="1CE90D7D">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B1.2.25招标人明示或者暗示投标人为特定投标人中标提供方便；</w:t>
      </w:r>
    </w:p>
    <w:p w14:paraId="19AF7389">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B1.2.26招标人与投标人为谋求特定投标人中标而采取的其他串通行为；</w:t>
      </w:r>
    </w:p>
    <w:p w14:paraId="66203084">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B1.2.27评标委员会认定的其他串通投标情形；</w:t>
      </w:r>
    </w:p>
    <w:p w14:paraId="02BB7848">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B1.3不按评标委员会要求澄清、说明或补正的。</w:t>
      </w:r>
    </w:p>
    <w:p w14:paraId="478FDF0B">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B1.4在形式评审、资格评审（适用于未进行资格预审的）、响应性评审中，评标委员会认定投标人的投标文件不符合评标办法前附表中规定的任何一项评审标准的。</w:t>
      </w:r>
    </w:p>
    <w:p w14:paraId="647C5909">
      <w:pPr>
        <w:autoSpaceDE w:val="0"/>
        <w:autoSpaceDN w:val="0"/>
        <w:spacing w:line="500" w:lineRule="exact"/>
        <w:ind w:firstLine="360"/>
        <w:jc w:val="left"/>
        <w:rPr>
          <w:rFonts w:ascii="宋体" w:hAnsi="宋体"/>
          <w:bCs/>
          <w:color w:val="000000"/>
          <w:kern w:val="0"/>
          <w:szCs w:val="21"/>
        </w:rPr>
      </w:pPr>
      <w:r>
        <w:rPr>
          <w:rFonts w:ascii="宋体" w:hAnsi="宋体"/>
          <w:bCs/>
          <w:color w:val="000000"/>
          <w:kern w:val="0"/>
          <w:szCs w:val="21"/>
        </w:rPr>
        <w:t>B1.6投标报价文件（投标函除外）未经有资格的</w:t>
      </w:r>
      <w:r>
        <w:rPr>
          <w:rFonts w:hint="eastAsia" w:ascii="宋体" w:hAnsi="宋体"/>
          <w:bCs/>
          <w:color w:val="000000"/>
          <w:kern w:val="0"/>
          <w:szCs w:val="21"/>
        </w:rPr>
        <w:t>注册</w:t>
      </w:r>
      <w:r>
        <w:rPr>
          <w:rFonts w:ascii="宋体" w:hAnsi="宋体"/>
          <w:bCs/>
          <w:color w:val="000000"/>
          <w:kern w:val="0"/>
          <w:szCs w:val="21"/>
        </w:rPr>
        <w:t>造价</w:t>
      </w:r>
      <w:r>
        <w:rPr>
          <w:rFonts w:hint="eastAsia" w:ascii="宋体" w:hAnsi="宋体"/>
          <w:bCs/>
          <w:color w:val="000000"/>
          <w:kern w:val="0"/>
          <w:szCs w:val="21"/>
        </w:rPr>
        <w:t>工程师</w:t>
      </w:r>
      <w:r>
        <w:rPr>
          <w:rFonts w:ascii="宋体" w:hAnsi="宋体"/>
          <w:bCs/>
          <w:color w:val="000000"/>
          <w:kern w:val="0"/>
          <w:szCs w:val="21"/>
        </w:rPr>
        <w:t>签字并加盖</w:t>
      </w:r>
      <w:r>
        <w:rPr>
          <w:rFonts w:hint="eastAsia" w:ascii="宋体" w:hAnsi="宋体"/>
          <w:bCs/>
          <w:color w:val="000000"/>
          <w:kern w:val="0"/>
          <w:szCs w:val="21"/>
        </w:rPr>
        <w:t>其</w:t>
      </w:r>
      <w:r>
        <w:rPr>
          <w:rFonts w:ascii="宋体" w:hAnsi="宋体"/>
          <w:bCs/>
          <w:color w:val="000000"/>
          <w:kern w:val="0"/>
          <w:szCs w:val="21"/>
        </w:rPr>
        <w:t>执业专用章的</w:t>
      </w:r>
      <w:r>
        <w:rPr>
          <w:rFonts w:hint="eastAsia" w:ascii="宋体" w:hAnsi="宋体"/>
          <w:bCs/>
          <w:color w:val="000000"/>
          <w:kern w:val="0"/>
          <w:szCs w:val="21"/>
        </w:rPr>
        <w:t>(盖章的注册造价工程师应是在本单位注册人员，或是投标人委托的造价咨询机构注册造价工程师并附委托合同)</w:t>
      </w:r>
      <w:r>
        <w:rPr>
          <w:rFonts w:ascii="宋体" w:hAnsi="宋体"/>
          <w:bCs/>
          <w:color w:val="000000"/>
          <w:kern w:val="0"/>
          <w:szCs w:val="21"/>
        </w:rPr>
        <w:t>。</w:t>
      </w:r>
    </w:p>
    <w:p w14:paraId="71BFFD32">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B1.7在技术标和资信标评审中，评标委员会认定投标人的投标未能通过此项评审的。</w:t>
      </w:r>
    </w:p>
    <w:p w14:paraId="351D707A">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B1.8评标委员会认定投标人以低于成本报价竞标的。</w:t>
      </w:r>
    </w:p>
    <w:p w14:paraId="78C72DEE">
      <w:pPr>
        <w:autoSpaceDE w:val="0"/>
        <w:autoSpaceDN w:val="0"/>
        <w:spacing w:line="500" w:lineRule="exact"/>
        <w:ind w:firstLine="360"/>
        <w:jc w:val="left"/>
        <w:rPr>
          <w:rFonts w:ascii="宋体" w:hAnsi="宋体"/>
          <w:bCs/>
          <w:color w:val="000000"/>
          <w:kern w:val="0"/>
          <w:szCs w:val="21"/>
        </w:rPr>
      </w:pPr>
      <w:r>
        <w:rPr>
          <w:rFonts w:hint="eastAsia" w:ascii="宋体" w:hAnsi="宋体"/>
          <w:bCs/>
          <w:color w:val="000000"/>
          <w:kern w:val="0"/>
          <w:szCs w:val="21"/>
        </w:rPr>
        <w:t>B1.9投标人未按第二章“投标人须知”第10.6款规定出席开标会的。</w:t>
      </w:r>
    </w:p>
    <w:p w14:paraId="0EDC35F7">
      <w:pPr>
        <w:pStyle w:val="57"/>
        <w:widowControl/>
        <w:spacing w:beforeLines="0" w:line="300" w:lineRule="auto"/>
        <w:ind w:left="1233" w:leftChars="514" w:firstLine="660" w:firstLineChars="150"/>
        <w:jc w:val="both"/>
        <w:rPr>
          <w:rFonts w:hint="eastAsia"/>
          <w:color w:val="000000"/>
          <w:kern w:val="0"/>
          <w:szCs w:val="21"/>
        </w:rPr>
      </w:pPr>
    </w:p>
    <w:p w14:paraId="4364E271">
      <w:pPr>
        <w:pStyle w:val="57"/>
        <w:widowControl/>
        <w:spacing w:beforeLines="0" w:line="300" w:lineRule="auto"/>
        <w:ind w:left="1233" w:leftChars="514" w:firstLine="660" w:firstLineChars="150"/>
        <w:jc w:val="both"/>
        <w:rPr>
          <w:rFonts w:hint="eastAsia"/>
          <w:color w:val="000000"/>
          <w:kern w:val="0"/>
          <w:szCs w:val="21"/>
        </w:rPr>
      </w:pPr>
    </w:p>
    <w:p w14:paraId="02177C0F">
      <w:pPr>
        <w:pStyle w:val="3"/>
        <w:jc w:val="center"/>
      </w:pPr>
      <w:r>
        <w:rPr>
          <w:rFonts w:hint="eastAsia"/>
          <w:color w:val="000000"/>
          <w:kern w:val="0"/>
          <w:szCs w:val="21"/>
        </w:rPr>
        <w:br w:type="page"/>
      </w:r>
      <w:bookmarkStart w:id="141" w:name="_Toc22717_WPSOffice_Level1"/>
      <w:bookmarkStart w:id="142" w:name="_Toc18792_WPSOffice_Level1"/>
      <w:r>
        <w:rPr>
          <w:rFonts w:hint="eastAsia" w:ascii="Times New Roman" w:hAnsi="Times New Roman" w:eastAsia="黑体" w:cs="Times New Roman"/>
          <w:b/>
          <w:bCs w:val="0"/>
          <w:color w:val="000000"/>
          <w:kern w:val="0"/>
          <w:sz w:val="44"/>
          <w:szCs w:val="21"/>
          <w:lang w:val="en-US" w:eastAsia="zh-CN" w:bidi="ar-SA"/>
        </w:rPr>
        <w:t>第四章</w:t>
      </w:r>
      <w:r>
        <w:rPr>
          <w:rFonts w:hint="eastAsia" w:ascii="Times New Roman" w:hAnsi="Times New Roman" w:cs="Times New Roman"/>
          <w:b/>
          <w:bCs w:val="0"/>
          <w:color w:val="000000"/>
          <w:kern w:val="0"/>
          <w:sz w:val="44"/>
          <w:szCs w:val="21"/>
          <w:lang w:val="en-US" w:eastAsia="zh-CN" w:bidi="ar-SA"/>
        </w:rPr>
        <w:t xml:space="preserve"> </w:t>
      </w:r>
      <w:r>
        <w:rPr>
          <w:rFonts w:hint="eastAsia" w:ascii="Times New Roman" w:hAnsi="Times New Roman" w:eastAsia="黑体" w:cs="Times New Roman"/>
          <w:b/>
          <w:bCs w:val="0"/>
          <w:color w:val="000000"/>
          <w:kern w:val="0"/>
          <w:sz w:val="44"/>
          <w:szCs w:val="21"/>
          <w:lang w:val="en-US" w:eastAsia="zh-CN" w:bidi="ar-SA"/>
        </w:rPr>
        <w:t>技术要求</w:t>
      </w:r>
      <w:bookmarkEnd w:id="141"/>
      <w:bookmarkEnd w:id="142"/>
    </w:p>
    <w:p w14:paraId="43F89809">
      <w:pPr>
        <w:pStyle w:val="41"/>
        <w:keepNext w:val="0"/>
        <w:keepLines w:val="0"/>
        <w:widowControl/>
        <w:suppressLineNumbers w:val="0"/>
        <w:ind w:firstLine="560" w:firstLineChars="200"/>
      </w:pPr>
      <w:r>
        <w:rPr>
          <w:rFonts w:hint="eastAsia" w:ascii="仿宋_GB2312" w:hAnsi="仿宋_GB2312" w:eastAsia="仿宋_GB2312" w:cs="仿宋_GB2312"/>
          <w:b w:val="0"/>
          <w:bCs w:val="0"/>
          <w:color w:val="000000"/>
          <w:sz w:val="28"/>
          <w:szCs w:val="28"/>
          <w:lang w:val="en-US" w:eastAsia="zh-CN" w:bidi="ar-SA"/>
        </w:rPr>
        <w:t>1、确保维修单位具备资质合规、人员持证、工艺规范、质量可控的能力，保障起重机械运行安全，符合国家《特种设备安全法》《TSG Q7015-2016起重机械定期检验规则》等法规要求。</w:t>
      </w:r>
    </w:p>
    <w:p w14:paraId="2417F226">
      <w:pPr>
        <w:pStyle w:val="41"/>
        <w:keepNext w:val="0"/>
        <w:keepLines w:val="0"/>
        <w:widowControl/>
        <w:suppressLineNumbers w:val="0"/>
        <w:ind w:firstLine="560" w:firstLineChars="200"/>
        <w:rPr>
          <w:rFonts w:hint="eastAsia" w:ascii="仿宋_GB2312" w:hAnsi="仿宋_GB2312" w:eastAsia="仿宋_GB2312" w:cs="仿宋_GB2312"/>
          <w:b w:val="0"/>
          <w:bCs w:val="0"/>
          <w:color w:val="00B0F0"/>
          <w:sz w:val="28"/>
          <w:szCs w:val="28"/>
          <w:lang w:val="en-US" w:eastAsia="zh-CN" w:bidi="ar-SA"/>
        </w:rPr>
      </w:pPr>
      <w:r>
        <w:rPr>
          <w:rFonts w:hint="eastAsia" w:ascii="仿宋_GB2312" w:hAnsi="仿宋_GB2312" w:eastAsia="仿宋_GB2312" w:cs="仿宋_GB2312"/>
          <w:b w:val="0"/>
          <w:bCs w:val="0"/>
          <w:color w:val="auto"/>
          <w:sz w:val="28"/>
          <w:szCs w:val="28"/>
          <w:lang w:val="en-US" w:eastAsia="zh-CN" w:bidi="ar-SA"/>
        </w:rPr>
        <w:t>2、维修团队中人员必须持有特种设备维修作业人员证(Q1)，且证书在有效期内</w:t>
      </w:r>
      <w:r>
        <w:rPr>
          <w:rFonts w:hint="eastAsia" w:ascii="仿宋_GB2312" w:hAnsi="仿宋_GB2312" w:eastAsia="仿宋_GB2312" w:cs="仿宋_GB2312"/>
          <w:b w:val="0"/>
          <w:bCs w:val="0"/>
          <w:color w:val="00B0F0"/>
          <w:sz w:val="28"/>
          <w:szCs w:val="28"/>
          <w:lang w:val="en-US" w:eastAsia="zh-CN" w:bidi="ar-SA"/>
        </w:rPr>
        <w:t>；</w:t>
      </w:r>
    </w:p>
    <w:p w14:paraId="55135CA9">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3、配备专业维修工具（如力矩扳手、钢丝绳探伤仪、电气绝缘测试仪）及应急备件库（含常用易损件、安全装置配件）；</w:t>
      </w:r>
    </w:p>
    <w:p w14:paraId="68FEBBE9">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4、具备高空作业平台、吊装设备等辅助工具，满足现场维修需求。</w:t>
      </w:r>
    </w:p>
    <w:p w14:paraId="63E4183E">
      <w:pPr>
        <w:pStyle w:val="41"/>
        <w:keepNext w:val="0"/>
        <w:keepLines w:val="0"/>
        <w:widowControl/>
        <w:suppressLineNumbers w:val="0"/>
        <w:ind w:firstLine="560" w:firstLineChars="200"/>
        <w:rPr>
          <w:rFonts w:hint="default"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6、测试限位开关、紧急停止按钮动作灵敏度，确保故障时能立即切断电源.</w:t>
      </w:r>
    </w:p>
    <w:p w14:paraId="0DF05D28">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7、清理轨道障碍物，检查轨道表面变形情况，确保运行环境安全。</w:t>
      </w:r>
    </w:p>
    <w:p w14:paraId="6336A17D">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8、测试起重量限制器、力矩限制器精度，误差需小于额定值的5%，超差需重新校准。</w:t>
      </w:r>
    </w:p>
    <w:p w14:paraId="4183B2E9">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9、检查吊钩防脱钩装置是否完好，滑轮绳槽磨损量超过原厚度20%时强制更换。</w:t>
      </w:r>
    </w:p>
    <w:p w14:paraId="394C6449">
      <w:pPr>
        <w:pStyle w:val="41"/>
        <w:keepNext w:val="0"/>
        <w:keepLines w:val="0"/>
        <w:widowControl/>
        <w:suppressLineNumbers w:val="0"/>
        <w:ind w:firstLine="560" w:firstLineChars="200"/>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z w:val="28"/>
          <w:szCs w:val="28"/>
          <w:lang w:val="en-US" w:eastAsia="zh-CN" w:bidi="ar-SA"/>
        </w:rPr>
        <w:t>10、在质保期内发生由于检修质量问题造成起重机械损坏的，由投标人负责免费重新修理。</w:t>
      </w:r>
    </w:p>
    <w:p w14:paraId="316330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28"/>
        </w:rPr>
      </w:pPr>
    </w:p>
    <w:p w14:paraId="77F7BC5E">
      <w:pPr>
        <w:rPr>
          <w:rFonts w:hint="eastAsia"/>
          <w:color w:val="000000"/>
          <w:kern w:val="0"/>
          <w:szCs w:val="21"/>
        </w:rPr>
      </w:pPr>
    </w:p>
    <w:p w14:paraId="1B129B71">
      <w:pPr>
        <w:pStyle w:val="57"/>
        <w:widowControl/>
        <w:spacing w:beforeLines="0" w:line="300" w:lineRule="auto"/>
        <w:ind w:left="1233" w:leftChars="514" w:firstLine="660" w:firstLineChars="150"/>
        <w:jc w:val="both"/>
        <w:rPr>
          <w:color w:val="000000"/>
        </w:rPr>
      </w:pPr>
      <w:bookmarkStart w:id="143" w:name="_Toc386_WPSOffice_Level1"/>
      <w:bookmarkStart w:id="144" w:name="_Toc31044_WPSOffice_Level1"/>
      <w:r>
        <w:rPr>
          <w:rFonts w:hint="eastAsia"/>
          <w:color w:val="000000"/>
          <w:kern w:val="0"/>
          <w:szCs w:val="21"/>
        </w:rPr>
        <w:t>第</w:t>
      </w:r>
      <w:r>
        <w:rPr>
          <w:rFonts w:hint="eastAsia"/>
          <w:color w:val="000000"/>
          <w:kern w:val="0"/>
          <w:szCs w:val="21"/>
          <w:lang w:val="en-US" w:eastAsia="zh-CN"/>
        </w:rPr>
        <w:t>五</w:t>
      </w:r>
      <w:r>
        <w:rPr>
          <w:rFonts w:hint="eastAsia"/>
          <w:color w:val="000000"/>
          <w:kern w:val="0"/>
          <w:szCs w:val="21"/>
        </w:rPr>
        <w:t>章</w:t>
      </w:r>
      <w:r>
        <w:rPr>
          <w:color w:val="000000"/>
        </w:rPr>
        <w:t xml:space="preserve">  </w:t>
      </w:r>
      <w:r>
        <w:rPr>
          <w:rFonts w:hint="eastAsia"/>
          <w:color w:val="000000"/>
        </w:rPr>
        <w:t>合同条款及格式</w:t>
      </w:r>
      <w:bookmarkEnd w:id="143"/>
      <w:bookmarkEnd w:id="144"/>
    </w:p>
    <w:p w14:paraId="1A677A87">
      <w:pPr>
        <w:spacing w:line="300" w:lineRule="auto"/>
        <w:rPr>
          <w:rFonts w:ascii="Times New Roman" w:hAnsi="Times New Roman" w:eastAsia="仿宋_GB2312"/>
          <w:color w:val="000000"/>
        </w:rPr>
      </w:pPr>
      <w:r>
        <w:rPr>
          <w:rFonts w:ascii="Times New Roman" w:hAnsi="Times New Roman" w:eastAsia="仿宋_GB2312"/>
          <w:color w:val="000000"/>
        </w:rPr>
        <w:tab/>
      </w:r>
    </w:p>
    <w:p w14:paraId="6FB0FA88">
      <w:pPr>
        <w:tabs>
          <w:tab w:val="left" w:pos="1176"/>
        </w:tabs>
        <w:spacing w:line="360" w:lineRule="auto"/>
        <w:jc w:val="both"/>
        <w:rPr>
          <w:rFonts w:cs="仿宋"/>
          <w:sz w:val="44"/>
          <w:szCs w:val="44"/>
        </w:rPr>
      </w:pPr>
    </w:p>
    <w:p w14:paraId="36D6B3B3">
      <w:pPr>
        <w:widowControl/>
        <w:tabs>
          <w:tab w:val="left" w:pos="0"/>
          <w:tab w:val="center" w:pos="4500"/>
        </w:tabs>
        <w:spacing w:line="720" w:lineRule="auto"/>
        <w:jc w:val="left"/>
        <w:outlineLvl w:val="0"/>
        <w:rPr>
          <w:rFonts w:hint="eastAsia" w:ascii="仿宋_GB2312" w:hAnsi="仿宋_GB2312" w:eastAsia="仿宋_GB2312" w:cs="仿宋_GB2312"/>
          <w:b/>
          <w:spacing w:val="20"/>
          <w:sz w:val="28"/>
          <w:szCs w:val="28"/>
        </w:rPr>
      </w:pPr>
      <w:bookmarkStart w:id="145" w:name="_Toc508871745"/>
      <w:r>
        <w:rPr>
          <w:rFonts w:hint="eastAsia" w:ascii="仿宋_GB2312" w:hAnsi="仿宋_GB2312" w:eastAsia="仿宋_GB2312" w:cs="仿宋_GB2312"/>
          <w:b/>
          <w:spacing w:val="20"/>
          <w:sz w:val="28"/>
          <w:szCs w:val="28"/>
        </w:rPr>
        <w:t>合同编号：</w:t>
      </w:r>
    </w:p>
    <w:p w14:paraId="4096CC6E">
      <w:pPr>
        <w:widowControl/>
        <w:tabs>
          <w:tab w:val="left" w:pos="0"/>
        </w:tabs>
        <w:spacing w:line="720" w:lineRule="auto"/>
        <w:jc w:val="left"/>
        <w:outlineLvl w:val="0"/>
        <w:rPr>
          <w:rFonts w:hint="eastAsia" w:ascii="仿宋_GB2312" w:hAnsi="仿宋_GB2312" w:eastAsia="仿宋_GB2312" w:cs="仿宋_GB2312"/>
          <w:b/>
          <w:spacing w:val="20"/>
          <w:sz w:val="44"/>
        </w:rPr>
      </w:pPr>
    </w:p>
    <w:p w14:paraId="2F13BAC4">
      <w:pPr>
        <w:jc w:val="center"/>
        <w:rPr>
          <w:rFonts w:hint="eastAsia" w:ascii="仿宋_GB2312" w:hAnsi="仿宋_GB2312" w:eastAsia="仿宋_GB2312" w:cs="仿宋_GB2312"/>
          <w:b/>
          <w:bCs/>
          <w:sz w:val="48"/>
        </w:rPr>
      </w:pPr>
      <w:r>
        <w:rPr>
          <w:rFonts w:hint="eastAsia" w:ascii="仿宋_GB2312" w:hAnsi="仿宋_GB2312" w:eastAsia="仿宋_GB2312" w:cs="仿宋_GB2312"/>
          <w:b/>
          <w:bCs/>
          <w:spacing w:val="20"/>
          <w:sz w:val="44"/>
          <w:szCs w:val="44"/>
        </w:rPr>
        <w:t>山东济钢环保新材料有限公司</w:t>
      </w:r>
    </w:p>
    <w:p w14:paraId="0A345EA5">
      <w:pPr>
        <w:jc w:val="center"/>
        <w:rPr>
          <w:rFonts w:hint="eastAsia" w:ascii="仿宋_GB2312" w:hAnsi="仿宋_GB2312" w:eastAsia="仿宋_GB2312" w:cs="仿宋_GB2312"/>
          <w:b/>
          <w:bCs/>
          <w:sz w:val="48"/>
        </w:rPr>
      </w:pPr>
    </w:p>
    <w:p w14:paraId="3E4DA7C7">
      <w:pPr>
        <w:adjustRightInd w:val="0"/>
        <w:snapToGrid w:val="0"/>
        <w:spacing w:line="360" w:lineRule="auto"/>
        <w:jc w:val="center"/>
        <w:rPr>
          <w:rFonts w:hint="eastAsia" w:ascii="仿宋_GB2312" w:hAnsi="仿宋_GB2312" w:eastAsia="仿宋_GB2312" w:cs="仿宋_GB2312"/>
          <w:b/>
          <w:bCs/>
          <w:sz w:val="48"/>
        </w:rPr>
      </w:pPr>
      <w:r>
        <w:rPr>
          <w:rFonts w:hint="eastAsia" w:ascii="仿宋_GB2312" w:hAnsi="仿宋_GB2312" w:eastAsia="仿宋_GB2312" w:cs="仿宋_GB2312"/>
          <w:b/>
          <w:bCs/>
          <w:sz w:val="48"/>
          <w:lang w:val="en-US" w:eastAsia="zh-CN"/>
        </w:rPr>
        <w:t>起重机械</w:t>
      </w:r>
      <w:r>
        <w:rPr>
          <w:rFonts w:hint="eastAsia" w:ascii="仿宋_GB2312" w:hAnsi="仿宋_GB2312" w:eastAsia="仿宋_GB2312" w:cs="仿宋_GB2312"/>
          <w:b/>
          <w:bCs/>
          <w:sz w:val="48"/>
        </w:rPr>
        <w:t>维修承包合同</w:t>
      </w:r>
    </w:p>
    <w:p w14:paraId="75F77F14">
      <w:pPr>
        <w:adjustRightInd w:val="0"/>
        <w:snapToGrid w:val="0"/>
        <w:spacing w:line="360" w:lineRule="auto"/>
        <w:jc w:val="center"/>
        <w:rPr>
          <w:rFonts w:hint="eastAsia" w:ascii="仿宋_GB2312" w:hAnsi="仿宋_GB2312" w:eastAsia="仿宋_GB2312" w:cs="仿宋_GB2312"/>
          <w:b/>
          <w:bCs/>
          <w:sz w:val="48"/>
        </w:rPr>
      </w:pPr>
    </w:p>
    <w:p w14:paraId="606D1C47">
      <w:pPr>
        <w:jc w:val="left"/>
        <w:rPr>
          <w:rFonts w:hint="eastAsia" w:ascii="仿宋_GB2312" w:hAnsi="仿宋_GB2312" w:eastAsia="仿宋_GB2312" w:cs="仿宋_GB2312"/>
          <w:b/>
          <w:sz w:val="36"/>
        </w:rPr>
      </w:pPr>
    </w:p>
    <w:p w14:paraId="77BFAD2C">
      <w:pPr>
        <w:jc w:val="left"/>
        <w:rPr>
          <w:rFonts w:hint="eastAsia" w:ascii="仿宋_GB2312" w:hAnsi="仿宋_GB2312" w:eastAsia="仿宋_GB2312" w:cs="仿宋_GB2312"/>
          <w:b/>
          <w:sz w:val="36"/>
        </w:rPr>
      </w:pPr>
    </w:p>
    <w:p w14:paraId="0190E832">
      <w:pPr>
        <w:jc w:val="left"/>
        <w:rPr>
          <w:rFonts w:hint="eastAsia" w:ascii="仿宋_GB2312" w:hAnsi="仿宋_GB2312" w:eastAsia="仿宋_GB2312" w:cs="仿宋_GB2312"/>
          <w:b/>
          <w:sz w:val="36"/>
        </w:rPr>
      </w:pPr>
    </w:p>
    <w:p w14:paraId="0C077D1D">
      <w:pPr>
        <w:jc w:val="left"/>
        <w:rPr>
          <w:rFonts w:hint="eastAsia" w:ascii="仿宋_GB2312" w:hAnsi="仿宋_GB2312" w:eastAsia="仿宋_GB2312" w:cs="仿宋_GB2312"/>
          <w:b/>
          <w:sz w:val="36"/>
        </w:rPr>
      </w:pPr>
    </w:p>
    <w:p w14:paraId="6AFC58A4">
      <w:pPr>
        <w:jc w:val="left"/>
        <w:rPr>
          <w:rFonts w:hint="eastAsia" w:ascii="仿宋_GB2312" w:hAnsi="仿宋_GB2312" w:eastAsia="仿宋_GB2312" w:cs="仿宋_GB2312"/>
          <w:b/>
          <w:sz w:val="36"/>
        </w:rPr>
      </w:pPr>
    </w:p>
    <w:p w14:paraId="724A2CCC">
      <w:pPr>
        <w:jc w:val="left"/>
        <w:rPr>
          <w:rFonts w:hint="eastAsia" w:ascii="仿宋_GB2312" w:hAnsi="仿宋_GB2312" w:eastAsia="仿宋_GB2312" w:cs="仿宋_GB2312"/>
          <w:b/>
          <w:sz w:val="36"/>
        </w:rPr>
      </w:pPr>
    </w:p>
    <w:tbl>
      <w:tblPr>
        <w:tblStyle w:val="46"/>
        <w:tblW w:w="0" w:type="auto"/>
        <w:jc w:val="center"/>
        <w:tblLayout w:type="fixed"/>
        <w:tblCellMar>
          <w:top w:w="0" w:type="dxa"/>
          <w:left w:w="108" w:type="dxa"/>
          <w:bottom w:w="0" w:type="dxa"/>
          <w:right w:w="108" w:type="dxa"/>
        </w:tblCellMar>
      </w:tblPr>
      <w:tblGrid>
        <w:gridCol w:w="2325"/>
        <w:gridCol w:w="4857"/>
      </w:tblGrid>
      <w:tr w14:paraId="42834214">
        <w:tblPrEx>
          <w:tblCellMar>
            <w:top w:w="0" w:type="dxa"/>
            <w:left w:w="108" w:type="dxa"/>
            <w:bottom w:w="0" w:type="dxa"/>
            <w:right w:w="108" w:type="dxa"/>
          </w:tblCellMar>
        </w:tblPrEx>
        <w:trPr>
          <w:trHeight w:val="567" w:hRule="exact"/>
          <w:jc w:val="center"/>
        </w:trPr>
        <w:tc>
          <w:tcPr>
            <w:tcW w:w="2325" w:type="dxa"/>
            <w:noWrap w:val="0"/>
            <w:vAlign w:val="top"/>
          </w:tcPr>
          <w:p w14:paraId="329ADC94">
            <w:pPr>
              <w:spacing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 方：</w:t>
            </w:r>
          </w:p>
        </w:tc>
        <w:tc>
          <w:tcPr>
            <w:tcW w:w="4857" w:type="dxa"/>
            <w:noWrap w:val="0"/>
            <w:vAlign w:val="top"/>
          </w:tcPr>
          <w:p w14:paraId="00CE7350">
            <w:pPr>
              <w:spacing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山东济钢环保新材料有限公司</w:t>
            </w:r>
          </w:p>
        </w:tc>
      </w:tr>
      <w:tr w14:paraId="3881216B">
        <w:tblPrEx>
          <w:tblCellMar>
            <w:top w:w="0" w:type="dxa"/>
            <w:left w:w="108" w:type="dxa"/>
            <w:bottom w:w="0" w:type="dxa"/>
            <w:right w:w="108" w:type="dxa"/>
          </w:tblCellMar>
        </w:tblPrEx>
        <w:trPr>
          <w:trHeight w:val="567" w:hRule="exact"/>
          <w:jc w:val="center"/>
        </w:trPr>
        <w:tc>
          <w:tcPr>
            <w:tcW w:w="2325" w:type="dxa"/>
            <w:noWrap w:val="0"/>
            <w:vAlign w:val="top"/>
          </w:tcPr>
          <w:p w14:paraId="0B68BE9F">
            <w:pPr>
              <w:spacing w:line="48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 方：</w:t>
            </w:r>
          </w:p>
        </w:tc>
        <w:tc>
          <w:tcPr>
            <w:tcW w:w="4857" w:type="dxa"/>
            <w:noWrap w:val="0"/>
            <w:vAlign w:val="top"/>
          </w:tcPr>
          <w:p w14:paraId="370336A9">
            <w:pPr>
              <w:spacing w:line="480" w:lineRule="auto"/>
              <w:rPr>
                <w:rFonts w:hint="eastAsia" w:ascii="仿宋_GB2312" w:hAnsi="仿宋_GB2312" w:eastAsia="仿宋_GB2312" w:cs="仿宋_GB2312"/>
                <w:b/>
                <w:sz w:val="28"/>
                <w:szCs w:val="28"/>
              </w:rPr>
            </w:pPr>
          </w:p>
        </w:tc>
      </w:tr>
    </w:tbl>
    <w:p w14:paraId="56161298">
      <w:pPr>
        <w:spacing w:line="480" w:lineRule="auto"/>
        <w:ind w:firstLine="963" w:firstLineChars="344"/>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签订地点：       济南市章丘区</w:t>
      </w:r>
    </w:p>
    <w:p w14:paraId="6C1BDB5D">
      <w:pPr>
        <w:spacing w:line="480" w:lineRule="auto"/>
        <w:jc w:val="center"/>
        <w:rPr>
          <w:rFonts w:hint="eastAsia" w:ascii="仿宋_GB2312" w:hAnsi="仿宋_GB2312" w:eastAsia="仿宋_GB2312" w:cs="仿宋_GB2312"/>
          <w:b/>
          <w:sz w:val="28"/>
          <w:szCs w:val="28"/>
        </w:rPr>
        <w:sectPr>
          <w:footerReference r:id="rId5" w:type="default"/>
          <w:pgSz w:w="11906" w:h="16838"/>
          <w:pgMar w:top="1440" w:right="1466" w:bottom="1440" w:left="1440" w:header="851" w:footer="992" w:gutter="0"/>
          <w:pgNumType w:fmt="decimal" w:start="1"/>
          <w:cols w:space="720" w:num="1"/>
          <w:docGrid w:type="linesAndChars" w:linePitch="312" w:charSpace="0"/>
        </w:sectPr>
      </w:pPr>
      <w:r>
        <w:rPr>
          <w:rFonts w:hint="eastAsia" w:ascii="仿宋_GB2312" w:hAnsi="仿宋_GB2312" w:eastAsia="仿宋_GB2312" w:cs="仿宋_GB2312"/>
          <w:b/>
          <w:sz w:val="28"/>
          <w:szCs w:val="28"/>
        </w:rPr>
        <w:t xml:space="preserve">   年  月  日                </w:t>
      </w:r>
    </w:p>
    <w:p w14:paraId="169E9EF8">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u w:val="single"/>
          <w:lang w:val="en-US" w:eastAsia="zh-CN"/>
        </w:rPr>
        <w:t>起重机械</w:t>
      </w:r>
      <w:r>
        <w:rPr>
          <w:rFonts w:hint="eastAsia" w:ascii="仿宋_GB2312" w:hAnsi="仿宋_GB2312" w:eastAsia="仿宋_GB2312" w:cs="仿宋_GB2312"/>
          <w:b/>
          <w:bCs/>
          <w:sz w:val="36"/>
          <w:szCs w:val="36"/>
        </w:rPr>
        <w:t>维修承包合同</w:t>
      </w:r>
    </w:p>
    <w:p w14:paraId="089B1FD5">
      <w:pPr>
        <w:spacing w:line="420" w:lineRule="exact"/>
        <w:ind w:firstLine="560" w:firstLineChars="200"/>
        <w:rPr>
          <w:rFonts w:hint="eastAsia" w:ascii="仿宋_GB2312" w:eastAsia="仿宋_GB2312" w:cs="仿宋"/>
          <w:sz w:val="28"/>
          <w:szCs w:val="28"/>
        </w:rPr>
      </w:pPr>
    </w:p>
    <w:p w14:paraId="72FCF320">
      <w:pPr>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山东济钢环保新材料有限公司</w:t>
      </w:r>
      <w:r>
        <w:rPr>
          <w:rFonts w:hint="eastAsia" w:ascii="仿宋_GB2312" w:eastAsia="仿宋_GB2312" w:cs="仿宋"/>
          <w:sz w:val="28"/>
          <w:szCs w:val="28"/>
          <w:lang w:val="en-US" w:eastAsia="zh-CN"/>
        </w:rPr>
        <w:t>起重机械</w:t>
      </w:r>
      <w:r>
        <w:rPr>
          <w:rFonts w:hint="eastAsia" w:ascii="仿宋_GB2312" w:eastAsia="仿宋_GB2312" w:cs="仿宋"/>
          <w:sz w:val="28"/>
          <w:szCs w:val="28"/>
        </w:rPr>
        <w:t>维修保养项目，经过竞争性谈判，由乙方承包此项目，为确保如期保质保量完成本项目，依据《中华人民共和国民法典》、有关法律法规和规程，结合项目具体情况，为明确各自的义务和责任，经双方协商一致，同意订立本合同如下，以便共同恪守执行。</w:t>
      </w:r>
    </w:p>
    <w:p w14:paraId="1E4566E9">
      <w:pPr>
        <w:spacing w:line="400" w:lineRule="exact"/>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val="en-US" w:eastAsia="zh-CN"/>
        </w:rPr>
        <w:t>一</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val="en-US" w:eastAsia="zh-CN"/>
        </w:rPr>
        <w:t>合同范围、</w:t>
      </w:r>
      <w:r>
        <w:rPr>
          <w:rFonts w:hint="eastAsia" w:ascii="仿宋_GB2312" w:hAnsi="仿宋_GB2312" w:eastAsia="仿宋_GB2312" w:cs="仿宋_GB2312"/>
          <w:b/>
          <w:bCs/>
          <w:color w:val="000000"/>
          <w:sz w:val="24"/>
        </w:rPr>
        <w:t>价格及交付期限</w:t>
      </w:r>
      <w:r>
        <w:rPr>
          <w:rFonts w:hint="eastAsia" w:ascii="仿宋_GB2312" w:hAnsi="仿宋_GB2312" w:eastAsia="仿宋_GB2312" w:cs="仿宋_GB2312"/>
          <w:b/>
          <w:bCs/>
          <w:color w:val="000000"/>
          <w:sz w:val="24"/>
          <w:lang w:eastAsia="zh-CN"/>
        </w:rPr>
        <w:t>。</w:t>
      </w:r>
    </w:p>
    <w:p w14:paraId="75662C38">
      <w:pPr>
        <w:spacing w:line="400" w:lineRule="exact"/>
        <w:ind w:firstLine="560" w:firstLineChars="200"/>
        <w:rPr>
          <w:rFonts w:hint="eastAsia" w:ascii="仿宋_GB2312" w:hAnsi="仿宋_GB2312" w:eastAsia="仿宋_GB2312" w:cs="仿宋_GB2312"/>
          <w:color w:val="000000"/>
          <w:sz w:val="28"/>
          <w:szCs w:val="28"/>
        </w:rPr>
      </w:pPr>
      <w:bookmarkStart w:id="146" w:name="_Toc521503304"/>
      <w:bookmarkStart w:id="147" w:name="_Toc507025404"/>
      <w:r>
        <w:rPr>
          <w:rFonts w:hint="eastAsia" w:ascii="仿宋_GB2312" w:hAnsi="仿宋_GB2312" w:eastAsia="仿宋_GB2312" w:cs="仿宋_GB2312"/>
          <w:color w:val="000000"/>
          <w:sz w:val="28"/>
          <w:szCs w:val="28"/>
        </w:rPr>
        <w:t>1</w:t>
      </w:r>
      <w:bookmarkEnd w:id="146"/>
      <w:bookmarkEnd w:id="147"/>
      <w:r>
        <w:rPr>
          <w:rFonts w:hint="eastAsia" w:ascii="仿宋_GB2312" w:hAnsi="仿宋_GB2312" w:eastAsia="仿宋_GB2312" w:cs="仿宋_GB2312"/>
          <w:color w:val="000000"/>
          <w:sz w:val="28"/>
          <w:szCs w:val="28"/>
        </w:rPr>
        <w:t>.</w:t>
      </w:r>
      <w:bookmarkStart w:id="148" w:name="_Toc507025405"/>
      <w:bookmarkStart w:id="149" w:name="_Toc521503305"/>
      <w:r>
        <w:rPr>
          <w:rFonts w:hint="eastAsia" w:ascii="仿宋_GB2312" w:hAnsi="仿宋_GB2312" w:eastAsia="仿宋_GB2312" w:cs="仿宋_GB2312"/>
          <w:color w:val="000000"/>
          <w:sz w:val="28"/>
          <w:szCs w:val="28"/>
          <w:u w:val="single"/>
          <w:lang w:val="en-US" w:eastAsia="zh-CN"/>
        </w:rPr>
        <w:t>起重机械</w:t>
      </w:r>
      <w:r>
        <w:rPr>
          <w:rFonts w:hint="eastAsia" w:ascii="仿宋_GB2312" w:hAnsi="仿宋_GB2312" w:eastAsia="仿宋_GB2312" w:cs="仿宋_GB2312"/>
          <w:color w:val="000000"/>
          <w:sz w:val="28"/>
          <w:szCs w:val="28"/>
          <w:lang w:val="zh-CN"/>
        </w:rPr>
        <w:t>维修保养</w:t>
      </w:r>
      <w:r>
        <w:rPr>
          <w:rFonts w:hint="eastAsia" w:ascii="仿宋_GB2312" w:hAnsi="仿宋_GB2312" w:eastAsia="仿宋_GB2312" w:cs="仿宋_GB2312"/>
          <w:color w:val="000000"/>
          <w:sz w:val="28"/>
          <w:szCs w:val="28"/>
        </w:rPr>
        <w:t>内容</w:t>
      </w:r>
    </w:p>
    <w:tbl>
      <w:tblPr>
        <w:tblStyle w:val="47"/>
        <w:tblpPr w:leftFromText="180" w:rightFromText="180" w:vertAnchor="text" w:horzAnchor="page" w:tblpX="1013" w:tblpY="367"/>
        <w:tblOverlap w:val="never"/>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128"/>
        <w:gridCol w:w="1555"/>
        <w:gridCol w:w="1619"/>
        <w:gridCol w:w="2422"/>
        <w:gridCol w:w="923"/>
        <w:gridCol w:w="923"/>
        <w:gridCol w:w="923"/>
      </w:tblGrid>
      <w:tr w14:paraId="1A06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24" w:type="dxa"/>
            <w:noWrap w:val="0"/>
            <w:vAlign w:val="center"/>
          </w:tcPr>
          <w:p w14:paraId="5F833504">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128" w:type="dxa"/>
            <w:noWrap w:val="0"/>
            <w:vAlign w:val="center"/>
          </w:tcPr>
          <w:p w14:paraId="2197615C">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设备名称</w:t>
            </w:r>
          </w:p>
        </w:tc>
        <w:tc>
          <w:tcPr>
            <w:tcW w:w="1555" w:type="dxa"/>
            <w:noWrap w:val="0"/>
            <w:vAlign w:val="center"/>
          </w:tcPr>
          <w:p w14:paraId="12EFC8C3">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设备品牌</w:t>
            </w:r>
          </w:p>
          <w:p w14:paraId="110327B3">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及参数</w:t>
            </w:r>
          </w:p>
        </w:tc>
        <w:tc>
          <w:tcPr>
            <w:tcW w:w="1619" w:type="dxa"/>
            <w:noWrap w:val="0"/>
            <w:vAlign w:val="center"/>
          </w:tcPr>
          <w:p w14:paraId="423B8157">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设备安装位置</w:t>
            </w:r>
          </w:p>
        </w:tc>
        <w:tc>
          <w:tcPr>
            <w:tcW w:w="2422" w:type="dxa"/>
            <w:noWrap w:val="0"/>
            <w:vAlign w:val="center"/>
          </w:tcPr>
          <w:p w14:paraId="408EB7EC">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设备故障说明</w:t>
            </w:r>
          </w:p>
        </w:tc>
        <w:tc>
          <w:tcPr>
            <w:tcW w:w="923" w:type="dxa"/>
            <w:noWrap w:val="0"/>
            <w:vAlign w:val="center"/>
          </w:tcPr>
          <w:p w14:paraId="332DEA54">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设备维护数量</w:t>
            </w:r>
          </w:p>
        </w:tc>
        <w:tc>
          <w:tcPr>
            <w:tcW w:w="923" w:type="dxa"/>
            <w:noWrap w:val="0"/>
            <w:vAlign w:val="center"/>
          </w:tcPr>
          <w:p w14:paraId="321D4B23">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金额</w:t>
            </w:r>
          </w:p>
        </w:tc>
        <w:tc>
          <w:tcPr>
            <w:tcW w:w="923" w:type="dxa"/>
            <w:noWrap w:val="0"/>
            <w:vAlign w:val="center"/>
          </w:tcPr>
          <w:p w14:paraId="42CDD278">
            <w:pPr>
              <w:ind w:left="0" w:leftChars="0"/>
              <w:jc w:val="center"/>
              <w:rPr>
                <w:rFonts w:hint="default" w:cs="宋体"/>
                <w:color w:val="auto"/>
                <w:sz w:val="24"/>
                <w:szCs w:val="24"/>
                <w:vertAlign w:val="baseline"/>
                <w:lang w:val="en-US" w:eastAsia="zh-CN"/>
              </w:rPr>
            </w:pPr>
            <w:r>
              <w:rPr>
                <w:rFonts w:hint="eastAsia" w:cs="宋体"/>
                <w:color w:val="auto"/>
                <w:sz w:val="24"/>
                <w:szCs w:val="24"/>
                <w:vertAlign w:val="baseline"/>
                <w:lang w:val="en-US" w:eastAsia="zh-CN"/>
              </w:rPr>
              <w:t>备注</w:t>
            </w:r>
          </w:p>
        </w:tc>
      </w:tr>
      <w:tr w14:paraId="7C32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24" w:type="dxa"/>
            <w:noWrap w:val="0"/>
            <w:vAlign w:val="center"/>
          </w:tcPr>
          <w:p w14:paraId="59D26469">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128" w:type="dxa"/>
            <w:shd w:val="clear" w:color="auto" w:fill="auto"/>
            <w:noWrap w:val="0"/>
            <w:vAlign w:val="bottom"/>
          </w:tcPr>
          <w:p w14:paraId="425BD704">
            <w:pPr>
              <w:ind w:left="0" w:leftChars="0"/>
              <w:jc w:val="center"/>
              <w:rPr>
                <w:rFonts w:hint="eastAsia" w:ascii="宋体" w:hAnsi="宋体" w:eastAsia="宋体" w:cs="宋体"/>
                <w:i w:val="0"/>
                <w:iCs w:val="0"/>
                <w:color w:val="auto"/>
                <w:sz w:val="24"/>
                <w:szCs w:val="24"/>
                <w:u w:val="none"/>
                <w:lang w:val="en-US" w:eastAsia="zh-CN" w:bidi="ar-SA"/>
              </w:rPr>
            </w:pPr>
            <w:r>
              <w:rPr>
                <w:rFonts w:hint="eastAsia" w:ascii="宋体" w:hAnsi="宋体" w:eastAsia="宋体" w:cs="宋体"/>
                <w:color w:val="auto"/>
                <w:sz w:val="24"/>
                <w:szCs w:val="24"/>
                <w:vertAlign w:val="baseline"/>
                <w:lang w:val="en-US" w:eastAsia="zh-CN"/>
              </w:rPr>
              <w:t>通用桥式起重机</w:t>
            </w:r>
          </w:p>
        </w:tc>
        <w:tc>
          <w:tcPr>
            <w:tcW w:w="1555" w:type="dxa"/>
            <w:noWrap w:val="0"/>
            <w:vAlign w:val="center"/>
          </w:tcPr>
          <w:p w14:paraId="5F35D5BB">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QD32/10-16.615A5</w:t>
            </w:r>
          </w:p>
        </w:tc>
        <w:tc>
          <w:tcPr>
            <w:tcW w:w="1619" w:type="dxa"/>
            <w:noWrap w:val="0"/>
            <w:vAlign w:val="center"/>
          </w:tcPr>
          <w:p w14:paraId="2368563B">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检修车间南跨</w:t>
            </w:r>
          </w:p>
        </w:tc>
        <w:tc>
          <w:tcPr>
            <w:tcW w:w="2422" w:type="dxa"/>
            <w:noWrap w:val="0"/>
            <w:vAlign w:val="center"/>
          </w:tcPr>
          <w:p w14:paraId="3FB3A7C8">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主钩下限位失效，主副钩减速机及其他运转部位加注润滑脂</w:t>
            </w:r>
          </w:p>
        </w:tc>
        <w:tc>
          <w:tcPr>
            <w:tcW w:w="923" w:type="dxa"/>
            <w:noWrap w:val="0"/>
            <w:vAlign w:val="center"/>
          </w:tcPr>
          <w:p w14:paraId="3372B852">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923" w:type="dxa"/>
            <w:noWrap w:val="0"/>
            <w:vAlign w:val="center"/>
          </w:tcPr>
          <w:p w14:paraId="4146DA27">
            <w:pPr>
              <w:ind w:left="0" w:leftChars="0"/>
              <w:jc w:val="center"/>
              <w:rPr>
                <w:rFonts w:hint="eastAsia" w:ascii="宋体" w:hAnsi="宋体" w:eastAsia="宋体" w:cs="宋体"/>
                <w:color w:val="auto"/>
                <w:sz w:val="24"/>
                <w:szCs w:val="24"/>
                <w:highlight w:val="none"/>
                <w:vertAlign w:val="baseline"/>
                <w:lang w:val="en-US" w:eastAsia="zh-CN"/>
              </w:rPr>
            </w:pPr>
          </w:p>
        </w:tc>
        <w:tc>
          <w:tcPr>
            <w:tcW w:w="923" w:type="dxa"/>
            <w:vMerge w:val="restart"/>
            <w:noWrap w:val="0"/>
            <w:vAlign w:val="center"/>
          </w:tcPr>
          <w:p w14:paraId="0741B6E1">
            <w:pPr>
              <w:ind w:left="0" w:left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甲方提供黄油、润滑脂</w:t>
            </w:r>
          </w:p>
        </w:tc>
      </w:tr>
      <w:tr w14:paraId="3752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24" w:type="dxa"/>
            <w:noWrap w:val="0"/>
            <w:vAlign w:val="center"/>
          </w:tcPr>
          <w:p w14:paraId="78D4CEB3">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128" w:type="dxa"/>
            <w:noWrap w:val="0"/>
            <w:vAlign w:val="center"/>
          </w:tcPr>
          <w:p w14:paraId="7F4F767D">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电动单梁起重机</w:t>
            </w:r>
          </w:p>
        </w:tc>
        <w:tc>
          <w:tcPr>
            <w:tcW w:w="1555" w:type="dxa"/>
            <w:noWrap w:val="0"/>
            <w:vAlign w:val="center"/>
          </w:tcPr>
          <w:p w14:paraId="6E2D08D3">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LD5-10.5A3</w:t>
            </w:r>
          </w:p>
        </w:tc>
        <w:tc>
          <w:tcPr>
            <w:tcW w:w="1619" w:type="dxa"/>
            <w:noWrap w:val="0"/>
            <w:vAlign w:val="center"/>
          </w:tcPr>
          <w:p w14:paraId="47169C28">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检修车间北跨</w:t>
            </w:r>
          </w:p>
        </w:tc>
        <w:tc>
          <w:tcPr>
            <w:tcW w:w="2422" w:type="dxa"/>
            <w:noWrap w:val="0"/>
            <w:vAlign w:val="center"/>
          </w:tcPr>
          <w:p w14:paraId="53D2F39C">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下降限位</w:t>
            </w:r>
            <w:r>
              <w:rPr>
                <w:rFonts w:hint="eastAsia" w:cs="宋体"/>
                <w:color w:val="auto"/>
                <w:sz w:val="24"/>
                <w:szCs w:val="24"/>
                <w:vertAlign w:val="baseline"/>
                <w:lang w:val="en-US" w:eastAsia="zh-CN"/>
              </w:rPr>
              <w:t>失效，南北运行无限位装置，其他运转部位加注润滑脂</w:t>
            </w:r>
          </w:p>
        </w:tc>
        <w:tc>
          <w:tcPr>
            <w:tcW w:w="923" w:type="dxa"/>
            <w:noWrap w:val="0"/>
            <w:vAlign w:val="center"/>
          </w:tcPr>
          <w:p w14:paraId="5D55608B">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923" w:type="dxa"/>
            <w:noWrap w:val="0"/>
            <w:vAlign w:val="center"/>
          </w:tcPr>
          <w:p w14:paraId="7A288797">
            <w:pPr>
              <w:ind w:left="0" w:leftChars="0"/>
              <w:jc w:val="center"/>
              <w:rPr>
                <w:rFonts w:hint="eastAsia" w:ascii="宋体" w:hAnsi="宋体" w:eastAsia="宋体" w:cs="宋体"/>
                <w:color w:val="auto"/>
                <w:sz w:val="24"/>
                <w:szCs w:val="24"/>
                <w:highlight w:val="none"/>
                <w:vertAlign w:val="baseline"/>
                <w:lang w:val="en-US" w:eastAsia="zh-CN"/>
              </w:rPr>
            </w:pPr>
          </w:p>
        </w:tc>
        <w:tc>
          <w:tcPr>
            <w:tcW w:w="923" w:type="dxa"/>
            <w:vMerge w:val="continue"/>
            <w:noWrap w:val="0"/>
            <w:vAlign w:val="center"/>
          </w:tcPr>
          <w:p w14:paraId="2D989CF5">
            <w:pPr>
              <w:ind w:left="0" w:leftChars="0"/>
              <w:jc w:val="center"/>
              <w:rPr>
                <w:rFonts w:hint="eastAsia" w:ascii="宋体" w:hAnsi="宋体" w:eastAsia="宋体" w:cs="宋体"/>
                <w:color w:val="auto"/>
                <w:sz w:val="24"/>
                <w:szCs w:val="24"/>
                <w:highlight w:val="none"/>
                <w:vertAlign w:val="baseline"/>
                <w:lang w:val="en-US" w:eastAsia="zh-CN"/>
              </w:rPr>
            </w:pPr>
          </w:p>
        </w:tc>
      </w:tr>
      <w:tr w14:paraId="395A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4" w:type="dxa"/>
            <w:noWrap w:val="0"/>
            <w:vAlign w:val="center"/>
          </w:tcPr>
          <w:p w14:paraId="50232B88">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128" w:type="dxa"/>
            <w:noWrap w:val="0"/>
            <w:vAlign w:val="center"/>
          </w:tcPr>
          <w:p w14:paraId="06251185">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双梁桥式起重机</w:t>
            </w:r>
          </w:p>
        </w:tc>
        <w:tc>
          <w:tcPr>
            <w:tcW w:w="1555" w:type="dxa"/>
            <w:noWrap w:val="0"/>
            <w:vAlign w:val="center"/>
          </w:tcPr>
          <w:p w14:paraId="2ABF33B9">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QD型5-25</w:t>
            </w:r>
          </w:p>
        </w:tc>
        <w:tc>
          <w:tcPr>
            <w:tcW w:w="1619" w:type="dxa"/>
            <w:noWrap w:val="0"/>
            <w:vAlign w:val="center"/>
          </w:tcPr>
          <w:p w14:paraId="4122E7CA">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一线破碎机房</w:t>
            </w:r>
          </w:p>
        </w:tc>
        <w:tc>
          <w:tcPr>
            <w:tcW w:w="2422" w:type="dxa"/>
            <w:noWrap w:val="0"/>
            <w:vAlign w:val="center"/>
          </w:tcPr>
          <w:p w14:paraId="5FC32FC5">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起重机大钩起重物，起升正常、下降失速自锁</w:t>
            </w:r>
            <w:r>
              <w:rPr>
                <w:rFonts w:hint="eastAsia" w:cs="宋体"/>
                <w:color w:val="auto"/>
                <w:sz w:val="24"/>
                <w:szCs w:val="24"/>
                <w:vertAlign w:val="baseline"/>
                <w:lang w:val="en-US" w:eastAsia="zh-CN"/>
              </w:rPr>
              <w:t>,其他运转部位加注润滑脂</w:t>
            </w:r>
          </w:p>
        </w:tc>
        <w:tc>
          <w:tcPr>
            <w:tcW w:w="923" w:type="dxa"/>
            <w:noWrap w:val="0"/>
            <w:vAlign w:val="center"/>
          </w:tcPr>
          <w:p w14:paraId="613D3243">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923" w:type="dxa"/>
            <w:noWrap w:val="0"/>
            <w:vAlign w:val="center"/>
          </w:tcPr>
          <w:p w14:paraId="3764D32B">
            <w:pPr>
              <w:ind w:left="0" w:leftChars="0"/>
              <w:jc w:val="center"/>
              <w:rPr>
                <w:rFonts w:hint="eastAsia" w:ascii="宋体" w:hAnsi="宋体" w:eastAsia="宋体" w:cs="宋体"/>
                <w:color w:val="auto"/>
                <w:sz w:val="24"/>
                <w:szCs w:val="24"/>
                <w:highlight w:val="none"/>
                <w:vertAlign w:val="baseline"/>
                <w:lang w:val="en-US" w:eastAsia="zh-CN"/>
              </w:rPr>
            </w:pPr>
          </w:p>
        </w:tc>
        <w:tc>
          <w:tcPr>
            <w:tcW w:w="923" w:type="dxa"/>
            <w:vMerge w:val="continue"/>
            <w:noWrap w:val="0"/>
            <w:vAlign w:val="center"/>
          </w:tcPr>
          <w:p w14:paraId="531EB43D">
            <w:pPr>
              <w:ind w:left="0" w:leftChars="0"/>
              <w:jc w:val="center"/>
              <w:rPr>
                <w:rFonts w:hint="eastAsia" w:ascii="宋体" w:hAnsi="宋体" w:eastAsia="宋体" w:cs="宋体"/>
                <w:color w:val="auto"/>
                <w:sz w:val="24"/>
                <w:szCs w:val="24"/>
                <w:highlight w:val="none"/>
                <w:vertAlign w:val="baseline"/>
                <w:lang w:val="en-US" w:eastAsia="zh-CN"/>
              </w:rPr>
            </w:pPr>
          </w:p>
        </w:tc>
      </w:tr>
      <w:tr w14:paraId="224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24" w:type="dxa"/>
            <w:noWrap w:val="0"/>
            <w:vAlign w:val="center"/>
          </w:tcPr>
          <w:p w14:paraId="501AC41F">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128" w:type="dxa"/>
            <w:noWrap w:val="0"/>
            <w:vAlign w:val="center"/>
          </w:tcPr>
          <w:p w14:paraId="355B79C0">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电动单梁起重机</w:t>
            </w:r>
          </w:p>
        </w:tc>
        <w:tc>
          <w:tcPr>
            <w:tcW w:w="1555" w:type="dxa"/>
            <w:noWrap w:val="0"/>
            <w:vAlign w:val="center"/>
          </w:tcPr>
          <w:p w14:paraId="50AA7555">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LD5-10.5A3</w:t>
            </w:r>
          </w:p>
        </w:tc>
        <w:tc>
          <w:tcPr>
            <w:tcW w:w="1619" w:type="dxa"/>
            <w:noWrap w:val="0"/>
            <w:vAlign w:val="center"/>
          </w:tcPr>
          <w:p w14:paraId="7737AC2E">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矿山仓库</w:t>
            </w:r>
          </w:p>
        </w:tc>
        <w:tc>
          <w:tcPr>
            <w:tcW w:w="2422" w:type="dxa"/>
            <w:noWrap w:val="0"/>
            <w:vAlign w:val="center"/>
          </w:tcPr>
          <w:p w14:paraId="60A69CC6">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大车行走限位一侧缺失</w:t>
            </w:r>
            <w:r>
              <w:rPr>
                <w:rFonts w:hint="eastAsia" w:cs="宋体"/>
                <w:color w:val="auto"/>
                <w:sz w:val="24"/>
                <w:szCs w:val="24"/>
                <w:vertAlign w:val="baseline"/>
                <w:lang w:val="en-US" w:eastAsia="zh-CN"/>
              </w:rPr>
              <w:t>,其他运转部位加注润滑脂</w:t>
            </w:r>
          </w:p>
        </w:tc>
        <w:tc>
          <w:tcPr>
            <w:tcW w:w="923" w:type="dxa"/>
            <w:noWrap w:val="0"/>
            <w:vAlign w:val="center"/>
          </w:tcPr>
          <w:p w14:paraId="58B18341">
            <w:pPr>
              <w:ind w:left="0" w:left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1台</w:t>
            </w:r>
          </w:p>
        </w:tc>
        <w:tc>
          <w:tcPr>
            <w:tcW w:w="923" w:type="dxa"/>
            <w:noWrap w:val="0"/>
            <w:vAlign w:val="center"/>
          </w:tcPr>
          <w:p w14:paraId="61237DD8">
            <w:pPr>
              <w:ind w:left="0" w:leftChars="0"/>
              <w:jc w:val="center"/>
              <w:rPr>
                <w:rFonts w:hint="eastAsia" w:cs="宋体"/>
                <w:color w:val="auto"/>
                <w:sz w:val="24"/>
                <w:szCs w:val="24"/>
                <w:highlight w:val="none"/>
                <w:vertAlign w:val="baseline"/>
                <w:lang w:val="en-US" w:eastAsia="zh-CN"/>
              </w:rPr>
            </w:pPr>
          </w:p>
        </w:tc>
        <w:tc>
          <w:tcPr>
            <w:tcW w:w="923" w:type="dxa"/>
            <w:vMerge w:val="continue"/>
            <w:noWrap w:val="0"/>
            <w:vAlign w:val="center"/>
          </w:tcPr>
          <w:p w14:paraId="254F6B86">
            <w:pPr>
              <w:ind w:left="0" w:leftChars="0"/>
              <w:jc w:val="center"/>
              <w:rPr>
                <w:rFonts w:hint="eastAsia" w:cs="宋体"/>
                <w:color w:val="auto"/>
                <w:sz w:val="24"/>
                <w:szCs w:val="24"/>
                <w:highlight w:val="none"/>
                <w:vertAlign w:val="baseline"/>
                <w:lang w:val="en-US" w:eastAsia="zh-CN"/>
              </w:rPr>
            </w:pPr>
          </w:p>
        </w:tc>
      </w:tr>
      <w:tr w14:paraId="0E3D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24" w:type="dxa"/>
            <w:noWrap w:val="0"/>
            <w:vAlign w:val="center"/>
          </w:tcPr>
          <w:p w14:paraId="40D9C04D">
            <w:pPr>
              <w:ind w:left="0" w:leftChars="0"/>
              <w:jc w:val="center"/>
              <w:rPr>
                <w:rFonts w:hint="eastAsia" w:ascii="宋体" w:hAnsi="宋体" w:eastAsia="宋体" w:cs="宋体"/>
                <w:color w:val="auto"/>
                <w:sz w:val="24"/>
                <w:szCs w:val="24"/>
                <w:vertAlign w:val="baseline"/>
                <w:lang w:val="en-US" w:eastAsia="zh-CN"/>
              </w:rPr>
            </w:pPr>
          </w:p>
        </w:tc>
        <w:tc>
          <w:tcPr>
            <w:tcW w:w="6724" w:type="dxa"/>
            <w:gridSpan w:val="4"/>
            <w:noWrap w:val="0"/>
            <w:vAlign w:val="center"/>
          </w:tcPr>
          <w:p w14:paraId="3AE9F3D7">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合计金额（含税）</w:t>
            </w:r>
          </w:p>
        </w:tc>
        <w:tc>
          <w:tcPr>
            <w:tcW w:w="1846" w:type="dxa"/>
            <w:gridSpan w:val="2"/>
            <w:noWrap w:val="0"/>
            <w:vAlign w:val="center"/>
          </w:tcPr>
          <w:p w14:paraId="534945E5">
            <w:pPr>
              <w:ind w:left="0" w:leftChars="0"/>
              <w:jc w:val="center"/>
              <w:rPr>
                <w:rFonts w:hint="eastAsia" w:cs="宋体"/>
                <w:color w:val="auto"/>
                <w:sz w:val="24"/>
                <w:szCs w:val="24"/>
                <w:highlight w:val="none"/>
                <w:vertAlign w:val="baseline"/>
                <w:lang w:val="en-US" w:eastAsia="zh-CN"/>
              </w:rPr>
            </w:pPr>
          </w:p>
        </w:tc>
        <w:tc>
          <w:tcPr>
            <w:tcW w:w="923" w:type="dxa"/>
            <w:vMerge w:val="continue"/>
            <w:noWrap w:val="0"/>
            <w:vAlign w:val="center"/>
          </w:tcPr>
          <w:p w14:paraId="2208672F">
            <w:pPr>
              <w:ind w:left="0" w:leftChars="0"/>
              <w:jc w:val="center"/>
              <w:rPr>
                <w:rFonts w:hint="eastAsia" w:cs="宋体"/>
                <w:color w:val="auto"/>
                <w:sz w:val="24"/>
                <w:szCs w:val="24"/>
                <w:highlight w:val="none"/>
                <w:vertAlign w:val="baseline"/>
                <w:lang w:val="en-US" w:eastAsia="zh-CN"/>
              </w:rPr>
            </w:pPr>
          </w:p>
        </w:tc>
      </w:tr>
    </w:tbl>
    <w:p w14:paraId="0A5C035B">
      <w:pPr>
        <w:spacing w:line="400" w:lineRule="exact"/>
        <w:ind w:firstLine="560" w:firstLineChars="200"/>
        <w:rPr>
          <w:rFonts w:hint="eastAsia" w:ascii="仿宋_GB2312" w:hAnsi="仿宋_GB2312" w:eastAsia="仿宋_GB2312" w:cs="仿宋_GB2312"/>
          <w:color w:val="000000"/>
          <w:sz w:val="28"/>
          <w:szCs w:val="28"/>
        </w:rPr>
      </w:pPr>
    </w:p>
    <w:p w14:paraId="3E95B77E">
      <w:pPr>
        <w:numPr>
          <w:ilvl w:val="0"/>
          <w:numId w:val="2"/>
        </w:numPr>
        <w:spacing w:line="400" w:lineRule="exact"/>
        <w:ind w:firstLine="560" w:firstLineChars="200"/>
        <w:rPr>
          <w:rFonts w:hint="eastAsia" w:ascii="仿宋_GB2312" w:eastAsia="仿宋_GB2312" w:cs="仿宋"/>
          <w:sz w:val="28"/>
          <w:szCs w:val="28"/>
          <w:lang w:val="zh-CN" w:eastAsia="zh-CN"/>
        </w:rPr>
      </w:pPr>
      <w:r>
        <w:rPr>
          <w:rFonts w:hint="eastAsia" w:ascii="仿宋_GB2312" w:eastAsia="仿宋_GB2312" w:cs="仿宋"/>
          <w:sz w:val="28"/>
          <w:szCs w:val="28"/>
          <w:lang w:val="en-US" w:eastAsia="zh-CN"/>
        </w:rPr>
        <w:t>维修周期为签订合同后15个日历天。</w:t>
      </w:r>
    </w:p>
    <w:p w14:paraId="24ABF4CF">
      <w:pPr>
        <w:numPr>
          <w:ilvl w:val="0"/>
          <w:numId w:val="2"/>
        </w:numPr>
        <w:spacing w:line="400" w:lineRule="exact"/>
        <w:ind w:firstLine="560" w:firstLineChars="200"/>
        <w:rPr>
          <w:rFonts w:hint="eastAsia" w:ascii="仿宋_GB2312" w:hAnsi="仿宋_GB2312" w:eastAsia="仿宋_GB2312" w:cs="仿宋_GB2312"/>
          <w:color w:val="auto"/>
          <w:sz w:val="28"/>
          <w:szCs w:val="28"/>
          <w:lang w:val="zh-CN"/>
        </w:rPr>
      </w:pPr>
      <w:r>
        <w:rPr>
          <w:rFonts w:hint="eastAsia" w:ascii="仿宋_GB2312" w:eastAsia="仿宋_GB2312" w:cs="仿宋"/>
          <w:color w:val="auto"/>
          <w:sz w:val="28"/>
          <w:szCs w:val="28"/>
          <w:lang w:val="en-US" w:eastAsia="zh-CN"/>
        </w:rPr>
        <w:t>维修后开具增值税专用发票，电汇结算。</w:t>
      </w:r>
    </w:p>
    <w:p w14:paraId="2A2CAC87">
      <w:pPr>
        <w:numPr>
          <w:ilvl w:val="0"/>
          <w:numId w:val="2"/>
        </w:numPr>
        <w:spacing w:line="400" w:lineRule="exact"/>
        <w:ind w:firstLine="560" w:firstLineChars="200"/>
        <w:rPr>
          <w:rFonts w:hint="eastAsia" w:ascii="仿宋_GB2312" w:eastAsia="仿宋_GB2312" w:cs="仿宋"/>
          <w:sz w:val="28"/>
          <w:szCs w:val="28"/>
          <w:lang w:val="zh-CN" w:eastAsia="zh-CN"/>
        </w:rPr>
      </w:pPr>
      <w:r>
        <w:rPr>
          <w:rFonts w:hint="eastAsia" w:ascii="仿宋_GB2312" w:eastAsia="仿宋_GB2312" w:cs="仿宋"/>
          <w:sz w:val="28"/>
          <w:szCs w:val="28"/>
          <w:lang w:val="zh-CN" w:eastAsia="zh-CN"/>
        </w:rPr>
        <w:t>承包方式：包工包料。</w:t>
      </w:r>
    </w:p>
    <w:bookmarkEnd w:id="148"/>
    <w:bookmarkEnd w:id="149"/>
    <w:p w14:paraId="323BD5F9">
      <w:pPr>
        <w:numPr>
          <w:ilvl w:val="0"/>
          <w:numId w:val="2"/>
        </w:numPr>
        <w:spacing w:line="400" w:lineRule="exact"/>
        <w:ind w:firstLine="560" w:firstLineChars="200"/>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rPr>
        <w:t>质量要求：在</w:t>
      </w:r>
      <w:r>
        <w:rPr>
          <w:rFonts w:hint="eastAsia" w:ascii="仿宋_GB2312" w:eastAsia="仿宋_GB2312" w:cs="仿宋"/>
          <w:color w:val="auto"/>
          <w:sz w:val="28"/>
          <w:szCs w:val="28"/>
          <w:lang w:val="en-US" w:eastAsia="zh-CN"/>
        </w:rPr>
        <w:t>约定时间</w:t>
      </w:r>
      <w:r>
        <w:rPr>
          <w:rFonts w:hint="eastAsia" w:ascii="仿宋_GB2312" w:eastAsia="仿宋_GB2312" w:cs="仿宋"/>
          <w:sz w:val="28"/>
          <w:szCs w:val="28"/>
          <w:lang w:val="en-US" w:eastAsia="zh-CN"/>
        </w:rPr>
        <w:t>内修复保养；</w:t>
      </w:r>
      <w:r>
        <w:rPr>
          <w:rFonts w:hint="eastAsia" w:ascii="仿宋_GB2312" w:hAnsi="仿宋_GB2312" w:eastAsia="仿宋_GB2312" w:cs="仿宋_GB2312"/>
          <w:b w:val="0"/>
          <w:bCs w:val="0"/>
          <w:color w:val="000000"/>
          <w:sz w:val="28"/>
          <w:szCs w:val="28"/>
          <w:lang w:val="en-US" w:eastAsia="zh-CN" w:bidi="ar-SA"/>
        </w:rPr>
        <w:t>确保维修单位具备资质合规、人员持证、工艺规范、质量可控的能力，保障起重机械运行安全，符合国家《特种设备安全法》《TSG Q7015-2016起重机械定期检验规则》等法规要求。</w:t>
      </w:r>
    </w:p>
    <w:p w14:paraId="096BBF3F">
      <w:pPr>
        <w:numPr>
          <w:ilvl w:val="0"/>
          <w:numId w:val="2"/>
        </w:numPr>
        <w:spacing w:line="400" w:lineRule="exact"/>
        <w:ind w:firstLine="560" w:firstLineChars="200"/>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rPr>
        <w:t>合同在履行期间，遇国家税收政策调整，以不含税价格为准。税率调整后，未开增值税发票的货款相应调整，调整后的货款为：</w:t>
      </w:r>
    </w:p>
    <w:p w14:paraId="577B46BE">
      <w:pPr>
        <w:numPr>
          <w:ilvl w:val="0"/>
          <w:numId w:val="0"/>
        </w:numPr>
        <w:spacing w:line="400" w:lineRule="exact"/>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rPr>
        <w:t>未开增值税发票的货款÷(1+原税率)×（1＋新税率）</w:t>
      </w:r>
    </w:p>
    <w:p w14:paraId="410E6FEA">
      <w:pPr>
        <w:numPr>
          <w:ilvl w:val="0"/>
          <w:numId w:val="2"/>
        </w:numPr>
        <w:spacing w:line="400" w:lineRule="exact"/>
        <w:ind w:firstLine="560" w:firstLineChars="200"/>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rPr>
        <w:t>本合同计价货币、结算货币和支付货币为人民币。</w:t>
      </w:r>
    </w:p>
    <w:p w14:paraId="4950B1CE">
      <w:pPr>
        <w:numPr>
          <w:ilvl w:val="0"/>
          <w:numId w:val="2"/>
        </w:numPr>
        <w:spacing w:line="400" w:lineRule="exact"/>
        <w:ind w:firstLine="560" w:firstLineChars="200"/>
        <w:rPr>
          <w:rFonts w:hint="eastAsia" w:ascii="仿宋_GB2312" w:eastAsia="仿宋_GB2312" w:cs="仿宋"/>
          <w:color w:val="00B0F0"/>
          <w:sz w:val="28"/>
          <w:szCs w:val="28"/>
          <w:lang w:val="en-US" w:eastAsia="zh-CN"/>
        </w:rPr>
      </w:pPr>
      <w:r>
        <w:rPr>
          <w:rFonts w:hint="eastAsia" w:ascii="仿宋_GB2312" w:eastAsia="仿宋_GB2312" w:cs="仿宋"/>
          <w:color w:val="auto"/>
          <w:sz w:val="28"/>
          <w:szCs w:val="28"/>
          <w:lang w:val="en-US" w:eastAsia="zh-CN"/>
        </w:rPr>
        <w:t>质保期为甲方验收合格后365天。</w:t>
      </w:r>
    </w:p>
    <w:p w14:paraId="7E717802">
      <w:pPr>
        <w:pStyle w:val="59"/>
        <w:numPr>
          <w:ilvl w:val="0"/>
          <w:numId w:val="3"/>
        </w:numPr>
        <w:spacing w:line="42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技术约定</w:t>
      </w:r>
    </w:p>
    <w:p w14:paraId="35A05E65">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bookmarkStart w:id="150" w:name="_Toc507025406"/>
      <w:bookmarkStart w:id="151" w:name="_Toc521503306"/>
      <w:r>
        <w:rPr>
          <w:rFonts w:hint="eastAsia" w:ascii="仿宋_GB2312" w:hAnsi="宋体" w:eastAsia="仿宋_GB2312" w:cs="仿宋"/>
          <w:sz w:val="28"/>
          <w:szCs w:val="28"/>
          <w:lang w:val="en-US" w:eastAsia="zh-CN" w:bidi="ar-SA"/>
        </w:rPr>
        <w:t>1、确保维修单位具备资质合规、人员持证、工艺规范、质量可控的能力，保障起重机械运行安全，符合国家《特种设备安全法》《TSG Q7015-2016起重机械定期检验规则》等法规要求。</w:t>
      </w:r>
    </w:p>
    <w:p w14:paraId="63610382">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color w:val="auto"/>
          <w:sz w:val="28"/>
          <w:szCs w:val="28"/>
          <w:lang w:val="en-US" w:eastAsia="zh-CN" w:bidi="ar-SA"/>
        </w:rPr>
      </w:pPr>
      <w:r>
        <w:rPr>
          <w:rFonts w:hint="eastAsia" w:ascii="仿宋_GB2312" w:hAnsi="宋体" w:eastAsia="仿宋_GB2312" w:cs="仿宋"/>
          <w:color w:val="auto"/>
          <w:sz w:val="28"/>
          <w:szCs w:val="28"/>
          <w:lang w:val="en-US" w:eastAsia="zh-CN" w:bidi="ar-SA"/>
        </w:rPr>
        <w:t>2、维修团队中人员必须持有特种设备作业人员证（项目代号Q</w:t>
      </w:r>
      <w:r>
        <w:rPr>
          <w:rFonts w:hint="eastAsia" w:ascii="仿宋_GB2312" w:eastAsia="仿宋_GB2312" w:cs="仿宋"/>
          <w:color w:val="auto"/>
          <w:sz w:val="28"/>
          <w:szCs w:val="28"/>
          <w:lang w:val="en-US" w:eastAsia="zh-CN" w:bidi="ar-SA"/>
        </w:rPr>
        <w:t>1</w:t>
      </w:r>
      <w:r>
        <w:rPr>
          <w:rFonts w:hint="eastAsia" w:ascii="仿宋_GB2312" w:hAnsi="宋体" w:eastAsia="仿宋_GB2312" w:cs="仿宋"/>
          <w:color w:val="auto"/>
          <w:sz w:val="28"/>
          <w:szCs w:val="28"/>
          <w:lang w:val="en-US" w:eastAsia="zh-CN" w:bidi="ar-SA"/>
        </w:rPr>
        <w:t>），且证书在有效期内；</w:t>
      </w:r>
    </w:p>
    <w:p w14:paraId="69AC82A1">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4、配备专业维修工具（如力矩扳手、钢丝绳探伤仪、电气绝缘测试仪）及应急备件库（含常用易损件、安全装置配件）；</w:t>
      </w:r>
    </w:p>
    <w:p w14:paraId="3B689DD5">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5、具备高空作业平台、吊装设备等辅助工具，满足现场维修需求。</w:t>
      </w:r>
    </w:p>
    <w:p w14:paraId="62339AFE">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default"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6、测试限位开关、紧急停止按钮动作灵敏度，确保故障时能立即切断电源.</w:t>
      </w:r>
    </w:p>
    <w:p w14:paraId="0A8738F3">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7、清理轨道障碍物，检查轨道表面变形情况，确保运行环境安全。</w:t>
      </w:r>
    </w:p>
    <w:p w14:paraId="052609F5">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8、测试起重量限制器、力矩限制器精度，误差需小于额定值的5%，超差需重新校准。</w:t>
      </w:r>
    </w:p>
    <w:p w14:paraId="455A5518">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9、检查吊钩防脱钩装置是否完好，滑轮绳槽磨损量超过原厚度20%时强制更换。</w:t>
      </w:r>
    </w:p>
    <w:p w14:paraId="3E8AB742">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default" w:ascii="仿宋_GB2312" w:eastAsia="仿宋_GB2312" w:cs="仿宋"/>
          <w:sz w:val="28"/>
          <w:szCs w:val="28"/>
          <w:lang w:val="en-US" w:eastAsia="zh-CN" w:bidi="ar-SA"/>
        </w:rPr>
      </w:pPr>
      <w:r>
        <w:rPr>
          <w:rFonts w:hint="eastAsia" w:ascii="仿宋_GB2312" w:eastAsia="仿宋_GB2312" w:cs="仿宋"/>
          <w:sz w:val="28"/>
          <w:szCs w:val="28"/>
          <w:lang w:val="en-US" w:eastAsia="zh-CN" w:bidi="ar-SA"/>
        </w:rPr>
        <w:t>10、维修保养结束后，甲方需派专业人员按照维修保养项目组织验收，</w:t>
      </w:r>
      <w:r>
        <w:rPr>
          <w:rFonts w:hint="default" w:ascii="仿宋_GB2312" w:eastAsia="仿宋_GB2312" w:cs="仿宋"/>
          <w:sz w:val="28"/>
          <w:szCs w:val="28"/>
          <w:lang w:val="en-US" w:eastAsia="zh-CN" w:bidi="ar-SA"/>
        </w:rPr>
        <w:t>验收合格后，双方应共同签署《维修验收确认单》，该确认单是乙方申请支付维修款项的前提条件。如验收不合格，乙方应在甲方要求的期限内免费返工，直至验收合格，因此造成的工期延误由己方承担责任。</w:t>
      </w:r>
    </w:p>
    <w:p w14:paraId="50AB0D36">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eastAsia="仿宋_GB2312" w:cs="仿宋"/>
          <w:sz w:val="28"/>
          <w:szCs w:val="28"/>
          <w:lang w:val="en-US" w:eastAsia="zh-CN" w:bidi="ar-SA"/>
        </w:rPr>
      </w:pPr>
      <w:r>
        <w:rPr>
          <w:rFonts w:hint="eastAsia" w:ascii="仿宋_GB2312" w:eastAsia="仿宋_GB2312" w:cs="仿宋"/>
          <w:sz w:val="28"/>
          <w:szCs w:val="28"/>
          <w:lang w:val="en-US" w:eastAsia="zh-CN" w:bidi="ar-SA"/>
        </w:rPr>
        <w:t>11、质保期内，如乙方未能按照合同约定及甲方要求履行质保义务，甲方有权自行或委托第三方更换新的标的物，所需全部费用由乙方承担。</w:t>
      </w:r>
    </w:p>
    <w:p w14:paraId="381FC763">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仿宋_GB2312" w:hAnsi="宋体" w:eastAsia="仿宋_GB2312" w:cs="仿宋"/>
          <w:sz w:val="28"/>
          <w:szCs w:val="28"/>
          <w:lang w:val="en-US" w:eastAsia="zh-CN" w:bidi="ar-SA"/>
        </w:rPr>
      </w:pPr>
      <w:r>
        <w:rPr>
          <w:rFonts w:hint="eastAsia" w:ascii="仿宋_GB2312" w:hAnsi="宋体" w:eastAsia="仿宋_GB2312" w:cs="仿宋"/>
          <w:sz w:val="28"/>
          <w:szCs w:val="28"/>
          <w:lang w:val="en-US" w:eastAsia="zh-CN" w:bidi="ar-SA"/>
        </w:rPr>
        <w:t>1</w:t>
      </w:r>
      <w:r>
        <w:rPr>
          <w:rFonts w:hint="eastAsia" w:ascii="仿宋_GB2312" w:eastAsia="仿宋_GB2312" w:cs="仿宋"/>
          <w:sz w:val="28"/>
          <w:szCs w:val="28"/>
          <w:lang w:val="en-US" w:eastAsia="zh-CN" w:bidi="ar-SA"/>
        </w:rPr>
        <w:t>2</w:t>
      </w:r>
      <w:r>
        <w:rPr>
          <w:rFonts w:hint="eastAsia" w:ascii="仿宋_GB2312" w:hAnsi="宋体" w:eastAsia="仿宋_GB2312" w:cs="仿宋"/>
          <w:sz w:val="28"/>
          <w:szCs w:val="28"/>
          <w:lang w:val="en-US" w:eastAsia="zh-CN" w:bidi="ar-SA"/>
        </w:rPr>
        <w:t>、在质保期内发生由于检修质量问题造成起重机械损坏的，由投标人负责免费重新修理。</w:t>
      </w:r>
    </w:p>
    <w:p w14:paraId="459B4154">
      <w:pPr>
        <w:pStyle w:val="59"/>
        <w:spacing w:line="420" w:lineRule="exact"/>
        <w:rPr>
          <w:rFonts w:hint="eastAsia" w:ascii="仿宋_GB2312" w:eastAsia="仿宋_GB2312"/>
          <w:sz w:val="28"/>
          <w:szCs w:val="28"/>
        </w:rPr>
      </w:pPr>
      <w:r>
        <w:rPr>
          <w:rFonts w:hint="eastAsia" w:ascii="仿宋_GB2312" w:eastAsia="仿宋_GB2312"/>
          <w:sz w:val="28"/>
          <w:szCs w:val="28"/>
          <w:lang w:val="en-US" w:eastAsia="zh-CN"/>
        </w:rPr>
        <w:t>四、</w:t>
      </w:r>
      <w:r>
        <w:rPr>
          <w:rFonts w:hint="eastAsia" w:ascii="仿宋_GB2312" w:eastAsia="仿宋_GB2312"/>
          <w:sz w:val="28"/>
          <w:szCs w:val="28"/>
        </w:rPr>
        <w:t>支付</w:t>
      </w:r>
      <w:bookmarkEnd w:id="150"/>
      <w:bookmarkEnd w:id="151"/>
    </w:p>
    <w:p w14:paraId="2141D2BD">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1</w:t>
      </w:r>
      <w:r>
        <w:rPr>
          <w:rFonts w:hint="eastAsia" w:ascii="仿宋_GB2312" w:eastAsia="仿宋_GB2312" w:cs="仿宋"/>
          <w:sz w:val="28"/>
          <w:szCs w:val="28"/>
          <w:lang w:eastAsia="zh-CN"/>
        </w:rPr>
        <w:t>、</w:t>
      </w:r>
      <w:r>
        <w:rPr>
          <w:rFonts w:hint="eastAsia" w:ascii="仿宋_GB2312" w:eastAsia="仿宋_GB2312" w:cs="仿宋"/>
          <w:sz w:val="28"/>
          <w:szCs w:val="28"/>
        </w:rPr>
        <w:t>甲方以</w:t>
      </w:r>
      <w:r>
        <w:rPr>
          <w:rFonts w:hint="eastAsia" w:ascii="仿宋_GB2312" w:eastAsia="仿宋_GB2312" w:cs="仿宋"/>
          <w:sz w:val="28"/>
          <w:szCs w:val="28"/>
          <w:lang w:val="en-US" w:eastAsia="zh-CN"/>
        </w:rPr>
        <w:t>电汇</w:t>
      </w:r>
      <w:r>
        <w:rPr>
          <w:rFonts w:hint="eastAsia" w:ascii="仿宋_GB2312" w:eastAsia="仿宋_GB2312" w:cs="仿宋"/>
          <w:sz w:val="28"/>
          <w:szCs w:val="28"/>
        </w:rPr>
        <w:t>方式</w:t>
      </w:r>
      <w:r>
        <w:rPr>
          <w:rFonts w:hint="eastAsia" w:ascii="仿宋_GB2312" w:eastAsia="仿宋_GB2312" w:cs="仿宋"/>
          <w:sz w:val="28"/>
          <w:szCs w:val="28"/>
          <w:lang w:eastAsia="zh-CN"/>
        </w:rPr>
        <w:t>（</w:t>
      </w:r>
      <w:r>
        <w:rPr>
          <w:rFonts w:hint="eastAsia" w:ascii="仿宋_GB2312" w:eastAsia="仿宋_GB2312" w:cs="仿宋"/>
          <w:sz w:val="28"/>
          <w:szCs w:val="28"/>
          <w:lang w:val="en-US" w:eastAsia="zh-CN"/>
        </w:rPr>
        <w:t>以双方约定为准</w:t>
      </w:r>
      <w:r>
        <w:rPr>
          <w:rFonts w:hint="eastAsia" w:ascii="仿宋_GB2312" w:eastAsia="仿宋_GB2312" w:cs="仿宋"/>
          <w:sz w:val="28"/>
          <w:szCs w:val="28"/>
          <w:lang w:eastAsia="zh-CN"/>
        </w:rPr>
        <w:t>）</w:t>
      </w:r>
      <w:r>
        <w:rPr>
          <w:rFonts w:hint="eastAsia" w:ascii="仿宋_GB2312" w:eastAsia="仿宋_GB2312" w:cs="仿宋"/>
          <w:sz w:val="28"/>
          <w:szCs w:val="28"/>
        </w:rPr>
        <w:t>向乙方支付费用。</w:t>
      </w:r>
    </w:p>
    <w:p w14:paraId="35CFB7DE">
      <w:pPr>
        <w:snapToGrid w:val="0"/>
        <w:spacing w:line="420" w:lineRule="exact"/>
        <w:ind w:firstLine="560" w:firstLineChars="200"/>
        <w:rPr>
          <w:rFonts w:hint="eastAsia" w:ascii="仿宋_GB2312" w:hAnsi="Calibri" w:eastAsia="仿宋_GB2312" w:cs="仿宋"/>
          <w:sz w:val="28"/>
          <w:szCs w:val="28"/>
        </w:rPr>
      </w:pPr>
      <w:r>
        <w:rPr>
          <w:rFonts w:hint="eastAsia" w:ascii="仿宋_GB2312" w:hAnsi="Calibri" w:eastAsia="仿宋_GB2312" w:cs="仿宋"/>
          <w:sz w:val="28"/>
          <w:szCs w:val="28"/>
        </w:rPr>
        <w:t>2</w:t>
      </w:r>
      <w:r>
        <w:rPr>
          <w:rFonts w:hint="eastAsia" w:ascii="仿宋_GB2312" w:hAnsi="Calibri" w:eastAsia="仿宋_GB2312" w:cs="仿宋"/>
          <w:sz w:val="28"/>
          <w:szCs w:val="28"/>
          <w:lang w:eastAsia="zh-CN"/>
        </w:rPr>
        <w:t>、</w:t>
      </w:r>
      <w:r>
        <w:rPr>
          <w:rFonts w:hint="eastAsia" w:ascii="仿宋_GB2312" w:hAnsi="Calibri" w:eastAsia="仿宋_GB2312" w:cs="仿宋"/>
          <w:sz w:val="28"/>
          <w:szCs w:val="28"/>
          <w:lang w:val="en-US" w:eastAsia="zh-CN"/>
        </w:rPr>
        <w:t>双方验收合格（维修确认单）并且</w:t>
      </w:r>
      <w:r>
        <w:rPr>
          <w:rFonts w:hint="eastAsia" w:ascii="仿宋_GB2312" w:hAnsi="Calibri" w:eastAsia="仿宋_GB2312" w:cs="仿宋"/>
          <w:sz w:val="28"/>
          <w:szCs w:val="28"/>
        </w:rPr>
        <w:t>甲方收到全额增值税专用发票后</w:t>
      </w:r>
      <w:r>
        <w:rPr>
          <w:rFonts w:hint="eastAsia" w:ascii="仿宋_GB2312" w:hAnsi="Calibri" w:eastAsia="仿宋_GB2312" w:cs="仿宋"/>
          <w:sz w:val="28"/>
          <w:szCs w:val="28"/>
          <w:lang w:val="en-US" w:eastAsia="zh-CN"/>
        </w:rPr>
        <w:t>30</w:t>
      </w:r>
      <w:r>
        <w:rPr>
          <w:rFonts w:hint="eastAsia" w:ascii="仿宋_GB2312" w:hAnsi="Calibri" w:eastAsia="仿宋_GB2312" w:cs="仿宋"/>
          <w:sz w:val="28"/>
          <w:szCs w:val="28"/>
        </w:rPr>
        <w:t>个工作日内支付。</w:t>
      </w:r>
    </w:p>
    <w:p w14:paraId="1F40CB2E">
      <w:pPr>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lang w:val="en-US" w:eastAsia="zh-CN"/>
        </w:rPr>
        <w:t>4</w:t>
      </w:r>
      <w:r>
        <w:rPr>
          <w:rFonts w:hint="eastAsia" w:ascii="仿宋_GB2312" w:eastAsia="仿宋_GB2312" w:cs="仿宋"/>
          <w:sz w:val="28"/>
          <w:szCs w:val="28"/>
          <w:lang w:eastAsia="zh-CN"/>
        </w:rPr>
        <w:t>、</w:t>
      </w:r>
      <w:r>
        <w:rPr>
          <w:rFonts w:hint="eastAsia" w:ascii="仿宋_GB2312" w:eastAsia="仿宋_GB2312" w:cs="仿宋"/>
          <w:sz w:val="28"/>
          <w:szCs w:val="28"/>
        </w:rPr>
        <w:t>关于开具增值税专用发票的要求：</w:t>
      </w:r>
    </w:p>
    <w:p w14:paraId="7C87E949">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1）甲方向乙方支付合同价款前，乙方应向甲方开具增值税专用发票，否则，甲方有权拒绝付款并顺延付款时间。因乙方开具的发票不规范、不合法或涉嫌虚开发票引起税务问题的，乙方需依法向甲方重新开具发票，并向甲方承担赔偿责任。</w:t>
      </w:r>
    </w:p>
    <w:p w14:paraId="497B24D1">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（2）乙方应按照甲方要求，及时向甲方开具可以抵扣税款的增值税专用发票。因乙方开具发票不及时给甲方造成无法及时认证、抵扣发票等情形的，乙方需向甲方承担赔偿责任。</w:t>
      </w:r>
    </w:p>
    <w:p w14:paraId="3CDAC2B4">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3）乙方向甲方开具的增值税专用发票，乙方必须确保发票票面信息全部真实，相关货物、价款等内容与本合同相一致。因发票票面信息有误导致发票不能抵扣税款或者被认定为虚开的，乙方需向甲方承担赔偿责任。</w:t>
      </w:r>
    </w:p>
    <w:p w14:paraId="51E1B325">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（4）乙方收取价外费用的，需依法开具增值税专用发票。</w:t>
      </w:r>
    </w:p>
    <w:p w14:paraId="136D808C">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（5）甲方增值税专用发票信息如下：</w:t>
      </w:r>
    </w:p>
    <w:p w14:paraId="00658B4D">
      <w:pPr>
        <w:snapToGrid w:val="0"/>
        <w:spacing w:line="420" w:lineRule="exact"/>
        <w:ind w:firstLine="480"/>
        <w:rPr>
          <w:rFonts w:hint="eastAsia" w:ascii="仿宋_GB2312" w:eastAsia="仿宋_GB2312" w:cs="仿宋"/>
          <w:sz w:val="28"/>
          <w:szCs w:val="28"/>
        </w:rPr>
      </w:pPr>
      <w:bookmarkStart w:id="152" w:name="_Toc507025407"/>
      <w:r>
        <w:rPr>
          <w:rFonts w:hint="eastAsia" w:ascii="仿宋_GB2312" w:eastAsia="仿宋_GB2312" w:cs="仿宋"/>
          <w:sz w:val="28"/>
          <w:szCs w:val="28"/>
        </w:rPr>
        <w:t>单位名称：山东济钢环保新材料有限公司</w:t>
      </w:r>
    </w:p>
    <w:p w14:paraId="77488DCD">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纳税人识别号：91370181MA3MJQRU4Y</w:t>
      </w:r>
    </w:p>
    <w:p w14:paraId="053ED450">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开户行：中国民生银行济南章丘支行</w:t>
      </w:r>
    </w:p>
    <w:p w14:paraId="2E772BF1">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账号：609055119</w:t>
      </w:r>
    </w:p>
    <w:p w14:paraId="6EAC4C43">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地址： 山东省济南市章丘区官庄街道青野村东</w:t>
      </w:r>
    </w:p>
    <w:p w14:paraId="750BD921">
      <w:pPr>
        <w:snapToGrid w:val="0"/>
        <w:spacing w:line="420" w:lineRule="exact"/>
        <w:ind w:firstLine="480"/>
        <w:rPr>
          <w:rFonts w:hint="eastAsia" w:ascii="仿宋_GB2312" w:eastAsia="仿宋_GB2312" w:cs="仿宋"/>
          <w:sz w:val="28"/>
          <w:szCs w:val="28"/>
        </w:rPr>
      </w:pPr>
      <w:r>
        <w:rPr>
          <w:rFonts w:hint="eastAsia" w:ascii="仿宋_GB2312" w:eastAsia="仿宋_GB2312" w:cs="仿宋"/>
          <w:sz w:val="28"/>
          <w:szCs w:val="28"/>
        </w:rPr>
        <w:t>电话：0531-83790165</w:t>
      </w:r>
    </w:p>
    <w:p w14:paraId="5D7D9D2E">
      <w:pPr>
        <w:pStyle w:val="59"/>
        <w:spacing w:line="420" w:lineRule="exact"/>
        <w:rPr>
          <w:rFonts w:hint="eastAsia" w:ascii="仿宋_GB2312" w:eastAsia="仿宋_GB2312"/>
          <w:sz w:val="28"/>
          <w:szCs w:val="28"/>
        </w:rPr>
      </w:pPr>
      <w:bookmarkStart w:id="153" w:name="_Toc521503317"/>
      <w:r>
        <w:rPr>
          <w:rFonts w:hint="eastAsia" w:ascii="仿宋_GB2312" w:eastAsia="仿宋_GB2312"/>
          <w:sz w:val="28"/>
          <w:szCs w:val="28"/>
          <w:lang w:val="en-US" w:eastAsia="zh-CN"/>
        </w:rPr>
        <w:t>五、</w:t>
      </w:r>
      <w:r>
        <w:rPr>
          <w:rFonts w:hint="eastAsia" w:ascii="仿宋_GB2312" w:eastAsia="仿宋_GB2312"/>
          <w:sz w:val="28"/>
          <w:szCs w:val="28"/>
        </w:rPr>
        <w:t>安全责任</w:t>
      </w:r>
    </w:p>
    <w:p w14:paraId="44119447">
      <w:pPr>
        <w:pStyle w:val="59"/>
        <w:spacing w:line="420" w:lineRule="exact"/>
        <w:ind w:left="120" w:leftChars="50" w:firstLine="560" w:firstLineChars="200"/>
        <w:rPr>
          <w:rFonts w:hint="eastAsia" w:ascii="仿宋_GB2312" w:eastAsia="仿宋_GB2312" w:cs="仿宋"/>
          <w:b w:val="0"/>
          <w:sz w:val="28"/>
          <w:szCs w:val="28"/>
        </w:rPr>
      </w:pPr>
      <w:r>
        <w:rPr>
          <w:rFonts w:hint="eastAsia" w:ascii="仿宋_GB2312" w:eastAsia="仿宋_GB2312" w:cs="仿宋"/>
          <w:b w:val="0"/>
          <w:sz w:val="28"/>
          <w:szCs w:val="28"/>
        </w:rPr>
        <w:t>1</w:t>
      </w:r>
      <w:r>
        <w:rPr>
          <w:rFonts w:hint="eastAsia" w:ascii="仿宋_GB2312" w:eastAsia="仿宋_GB2312" w:cs="仿宋"/>
          <w:b w:val="0"/>
          <w:sz w:val="28"/>
          <w:szCs w:val="28"/>
          <w:lang w:eastAsia="zh-CN"/>
        </w:rPr>
        <w:t>、</w:t>
      </w:r>
      <w:r>
        <w:rPr>
          <w:rFonts w:hint="eastAsia" w:ascii="仿宋_GB2312" w:eastAsia="仿宋_GB2312" w:cs="仿宋"/>
          <w:b w:val="0"/>
          <w:sz w:val="28"/>
          <w:szCs w:val="28"/>
        </w:rPr>
        <w:t>进入甲方施工现场，穿戴好劳动防护用品，听从甲方管理人员的指挥。对于不按规定穿戴劳动防护用品，不听从甲方安全管理人员的指挥，造成的安全事故，由乙方承担全部责任。</w:t>
      </w:r>
    </w:p>
    <w:p w14:paraId="68A2BAFE">
      <w:pPr>
        <w:pStyle w:val="59"/>
        <w:spacing w:line="420" w:lineRule="exact"/>
        <w:ind w:left="120" w:leftChars="50" w:firstLine="560" w:firstLineChars="200"/>
        <w:rPr>
          <w:rFonts w:hint="eastAsia" w:ascii="仿宋_GB2312" w:eastAsia="仿宋_GB2312" w:cs="仿宋"/>
          <w:b w:val="0"/>
          <w:sz w:val="28"/>
          <w:szCs w:val="28"/>
        </w:rPr>
      </w:pPr>
      <w:r>
        <w:rPr>
          <w:rFonts w:hint="eastAsia" w:ascii="仿宋_GB2312" w:eastAsia="仿宋_GB2312" w:cs="仿宋"/>
          <w:b w:val="0"/>
          <w:sz w:val="28"/>
          <w:szCs w:val="28"/>
        </w:rPr>
        <w:t>2</w:t>
      </w:r>
      <w:r>
        <w:rPr>
          <w:rFonts w:hint="eastAsia" w:ascii="仿宋_GB2312" w:eastAsia="仿宋_GB2312" w:cs="仿宋"/>
          <w:b w:val="0"/>
          <w:sz w:val="28"/>
          <w:szCs w:val="28"/>
          <w:lang w:eastAsia="zh-CN"/>
        </w:rPr>
        <w:t>、</w:t>
      </w:r>
      <w:r>
        <w:rPr>
          <w:rFonts w:hint="eastAsia" w:ascii="仿宋_GB2312" w:eastAsia="仿宋_GB2312" w:cs="仿宋"/>
          <w:b w:val="0"/>
          <w:sz w:val="28"/>
          <w:szCs w:val="28"/>
        </w:rPr>
        <w:t>禁止违章作业，由于违章作业造成的安全事故，由乙方承担全部责任。乙方有权拒绝甲方的违章指挥。</w:t>
      </w:r>
    </w:p>
    <w:p w14:paraId="5672DDF8">
      <w:pPr>
        <w:pStyle w:val="59"/>
        <w:spacing w:line="420" w:lineRule="exact"/>
        <w:ind w:left="120" w:leftChars="50" w:firstLine="560" w:firstLineChars="200"/>
        <w:rPr>
          <w:rFonts w:hint="eastAsia" w:ascii="仿宋_GB2312" w:eastAsia="仿宋_GB2312" w:cs="仿宋"/>
          <w:b w:val="0"/>
          <w:sz w:val="28"/>
          <w:szCs w:val="28"/>
        </w:rPr>
      </w:pPr>
      <w:r>
        <w:rPr>
          <w:rFonts w:hint="eastAsia" w:ascii="仿宋_GB2312" w:eastAsia="仿宋_GB2312" w:cs="仿宋"/>
          <w:b w:val="0"/>
          <w:sz w:val="28"/>
          <w:szCs w:val="28"/>
        </w:rPr>
        <w:t>3</w:t>
      </w:r>
      <w:r>
        <w:rPr>
          <w:rFonts w:hint="eastAsia" w:ascii="仿宋_GB2312" w:eastAsia="仿宋_GB2312" w:cs="仿宋"/>
          <w:b w:val="0"/>
          <w:sz w:val="28"/>
          <w:szCs w:val="28"/>
          <w:lang w:eastAsia="zh-CN"/>
        </w:rPr>
        <w:t>、</w:t>
      </w:r>
      <w:r>
        <w:rPr>
          <w:rFonts w:hint="eastAsia" w:ascii="仿宋_GB2312" w:eastAsia="仿宋_GB2312" w:cs="仿宋"/>
          <w:b w:val="0"/>
          <w:sz w:val="28"/>
          <w:szCs w:val="28"/>
        </w:rPr>
        <w:t>乙方要严格按照安全操作规程操作，对违反安全操作规程造成的安全事故，由乙方承担全部责任。</w:t>
      </w:r>
    </w:p>
    <w:p w14:paraId="3A7D0800">
      <w:pPr>
        <w:pStyle w:val="59"/>
        <w:spacing w:line="420" w:lineRule="exact"/>
        <w:ind w:left="120" w:leftChars="50" w:firstLine="560" w:firstLineChars="200"/>
        <w:rPr>
          <w:rFonts w:hint="eastAsia" w:ascii="仿宋_GB2312" w:eastAsia="仿宋_GB2312" w:cs="仿宋"/>
          <w:b w:val="0"/>
          <w:sz w:val="28"/>
          <w:szCs w:val="28"/>
        </w:rPr>
      </w:pPr>
      <w:r>
        <w:rPr>
          <w:rFonts w:hint="eastAsia" w:ascii="仿宋_GB2312" w:eastAsia="仿宋_GB2312" w:cs="仿宋"/>
          <w:b w:val="0"/>
          <w:sz w:val="28"/>
          <w:szCs w:val="28"/>
        </w:rPr>
        <w:t>4</w:t>
      </w:r>
      <w:r>
        <w:rPr>
          <w:rFonts w:hint="eastAsia" w:ascii="仿宋_GB2312" w:eastAsia="仿宋_GB2312" w:cs="仿宋"/>
          <w:b w:val="0"/>
          <w:sz w:val="28"/>
          <w:szCs w:val="28"/>
          <w:lang w:eastAsia="zh-CN"/>
        </w:rPr>
        <w:t>、</w:t>
      </w:r>
      <w:r>
        <w:rPr>
          <w:rFonts w:hint="eastAsia" w:ascii="仿宋_GB2312" w:eastAsia="仿宋_GB2312" w:cs="仿宋"/>
          <w:b w:val="0"/>
          <w:sz w:val="28"/>
          <w:szCs w:val="28"/>
        </w:rPr>
        <w:t>乙方认真做好安全确认和安全技术交底，对安全确认和安全技术交底不到位造成的安全事故，由乙方承担全部责任。</w:t>
      </w:r>
    </w:p>
    <w:p w14:paraId="0538531B">
      <w:pPr>
        <w:pStyle w:val="59"/>
        <w:spacing w:line="420" w:lineRule="exact"/>
        <w:rPr>
          <w:rFonts w:hint="eastAsia" w:ascii="仿宋_GB2312" w:eastAsia="仿宋_GB2312"/>
          <w:sz w:val="28"/>
          <w:szCs w:val="28"/>
        </w:rPr>
      </w:pPr>
      <w:r>
        <w:rPr>
          <w:rFonts w:hint="eastAsia" w:ascii="仿宋_GB2312" w:eastAsia="仿宋_GB2312"/>
          <w:sz w:val="28"/>
          <w:szCs w:val="28"/>
          <w:lang w:val="en-US" w:eastAsia="zh-CN"/>
        </w:rPr>
        <w:t>六、</w:t>
      </w:r>
      <w:r>
        <w:rPr>
          <w:rFonts w:hint="eastAsia" w:ascii="仿宋_GB2312" w:eastAsia="仿宋_GB2312"/>
          <w:sz w:val="28"/>
          <w:szCs w:val="28"/>
        </w:rPr>
        <w:t>违约责任</w:t>
      </w:r>
    </w:p>
    <w:p w14:paraId="580AFF01">
      <w:pPr>
        <w:pStyle w:val="59"/>
        <w:spacing w:line="420" w:lineRule="exact"/>
        <w:ind w:left="0" w:firstLine="560" w:firstLineChars="200"/>
        <w:rPr>
          <w:rFonts w:hint="eastAsia" w:ascii="仿宋_GB2312" w:eastAsia="仿宋_GB2312" w:cs="仿宋"/>
          <w:b w:val="0"/>
          <w:color w:val="auto"/>
          <w:sz w:val="28"/>
          <w:szCs w:val="28"/>
        </w:rPr>
      </w:pPr>
      <w:r>
        <w:rPr>
          <w:rFonts w:hint="eastAsia" w:ascii="仿宋_GB2312" w:eastAsia="仿宋_GB2312" w:cs="仿宋"/>
          <w:b w:val="0"/>
          <w:sz w:val="28"/>
          <w:szCs w:val="28"/>
        </w:rPr>
        <w:t>1</w:t>
      </w:r>
      <w:r>
        <w:rPr>
          <w:rFonts w:hint="eastAsia" w:ascii="仿宋_GB2312" w:eastAsia="仿宋_GB2312" w:cs="仿宋"/>
          <w:b w:val="0"/>
          <w:sz w:val="28"/>
          <w:szCs w:val="28"/>
          <w:lang w:val="en-US" w:eastAsia="zh-CN"/>
        </w:rPr>
        <w:t>.</w:t>
      </w:r>
      <w:r>
        <w:rPr>
          <w:rFonts w:hint="eastAsia" w:ascii="仿宋_GB2312" w:eastAsia="仿宋_GB2312" w:cs="仿宋"/>
          <w:b w:val="0"/>
          <w:sz w:val="28"/>
          <w:szCs w:val="28"/>
        </w:rPr>
        <w:t>乙方要按照甲方的时间要求，确保按时到场，按时完成甲方规定的工作任务。对于不按时到场或不按时完成工作任务的行为，</w:t>
      </w:r>
      <w:r>
        <w:rPr>
          <w:rFonts w:hint="eastAsia" w:ascii="仿宋_GB2312" w:eastAsia="仿宋_GB2312" w:cs="仿宋"/>
          <w:b w:val="0"/>
          <w:color w:val="auto"/>
          <w:sz w:val="28"/>
          <w:szCs w:val="28"/>
        </w:rPr>
        <w:t>延期一天扣100-150。</w:t>
      </w:r>
    </w:p>
    <w:p w14:paraId="3BFC54FF">
      <w:pPr>
        <w:pStyle w:val="59"/>
        <w:spacing w:line="420" w:lineRule="exact"/>
        <w:ind w:left="0" w:firstLine="560" w:firstLineChars="200"/>
        <w:rPr>
          <w:rFonts w:hint="eastAsia" w:ascii="仿宋_GB2312" w:eastAsia="仿宋_GB2312" w:cs="仿宋"/>
          <w:b w:val="0"/>
          <w:color w:val="auto"/>
          <w:sz w:val="28"/>
          <w:szCs w:val="28"/>
        </w:rPr>
      </w:pPr>
      <w:r>
        <w:rPr>
          <w:rFonts w:hint="eastAsia" w:ascii="仿宋_GB2312" w:eastAsia="仿宋_GB2312" w:cs="仿宋"/>
          <w:b w:val="0"/>
          <w:sz w:val="28"/>
          <w:szCs w:val="28"/>
        </w:rPr>
        <w:t>2</w:t>
      </w:r>
      <w:r>
        <w:rPr>
          <w:rFonts w:hint="eastAsia" w:ascii="仿宋_GB2312" w:eastAsia="仿宋_GB2312" w:cs="仿宋"/>
          <w:b w:val="0"/>
          <w:sz w:val="28"/>
          <w:szCs w:val="28"/>
          <w:lang w:val="en-US" w:eastAsia="zh-CN"/>
        </w:rPr>
        <w:t>.</w:t>
      </w:r>
      <w:r>
        <w:rPr>
          <w:rFonts w:hint="eastAsia" w:ascii="仿宋_GB2312" w:eastAsia="仿宋_GB2312" w:cs="仿宋"/>
          <w:b w:val="0"/>
          <w:color w:val="auto"/>
          <w:sz w:val="28"/>
          <w:szCs w:val="28"/>
        </w:rPr>
        <w:t>甲方不按时支付费用，以全国银行间同业拆借中心公布的一年期贷款市场报价利率（LPR）计算向乙方支付违约金。</w:t>
      </w:r>
    </w:p>
    <w:p w14:paraId="52732FEE">
      <w:pPr>
        <w:pStyle w:val="59"/>
        <w:spacing w:line="420" w:lineRule="exact"/>
        <w:ind w:left="0" w:firstLine="560" w:firstLineChars="200"/>
        <w:rPr>
          <w:rFonts w:hint="eastAsia" w:ascii="仿宋_GB2312" w:eastAsia="仿宋_GB2312" w:cs="仿宋"/>
          <w:b w:val="0"/>
          <w:sz w:val="28"/>
          <w:szCs w:val="28"/>
          <w:lang w:val="en-US" w:eastAsia="zh-CN"/>
        </w:rPr>
      </w:pPr>
      <w:r>
        <w:rPr>
          <w:rFonts w:hint="eastAsia" w:ascii="仿宋_GB2312" w:eastAsia="仿宋_GB2312" w:cs="仿宋"/>
          <w:b w:val="0"/>
          <w:sz w:val="28"/>
          <w:szCs w:val="28"/>
          <w:lang w:val="en-US" w:eastAsia="zh-CN"/>
        </w:rPr>
        <w:t>3.如因乙方原因提前单方面解除合同或拒不提供服务，乙方须赔偿甲方合同总额10%的违约金。</w:t>
      </w:r>
    </w:p>
    <w:p w14:paraId="22B21F0A">
      <w:pPr>
        <w:pStyle w:val="59"/>
        <w:spacing w:line="420" w:lineRule="exact"/>
        <w:ind w:left="0" w:firstLine="560" w:firstLineChars="200"/>
        <w:rPr>
          <w:rFonts w:hint="eastAsia" w:ascii="仿宋_GB2312" w:eastAsia="仿宋_GB2312" w:cs="仿宋"/>
          <w:b w:val="0"/>
          <w:sz w:val="28"/>
          <w:szCs w:val="28"/>
          <w:lang w:val="en-US" w:eastAsia="zh-CN"/>
        </w:rPr>
      </w:pPr>
      <w:r>
        <w:rPr>
          <w:rFonts w:hint="eastAsia" w:ascii="仿宋_GB2312" w:eastAsia="仿宋_GB2312" w:cs="仿宋"/>
          <w:b w:val="0"/>
          <w:sz w:val="28"/>
          <w:szCs w:val="28"/>
          <w:lang w:val="en-US" w:eastAsia="zh-CN"/>
        </w:rPr>
        <w:t>4.延期5个日历天的，甲方有权解除合同，并追究乙方违约责任。</w:t>
      </w:r>
    </w:p>
    <w:p w14:paraId="5A1BA157">
      <w:pPr>
        <w:pStyle w:val="59"/>
        <w:spacing w:line="420" w:lineRule="exact"/>
        <w:ind w:left="0" w:firstLine="560" w:firstLineChars="200"/>
        <w:rPr>
          <w:rFonts w:hint="eastAsia" w:ascii="仿宋_GB2312" w:eastAsia="仿宋_GB2312" w:cs="仿宋"/>
          <w:b w:val="0"/>
          <w:sz w:val="28"/>
          <w:szCs w:val="28"/>
          <w:lang w:val="en-US" w:eastAsia="zh-CN"/>
        </w:rPr>
      </w:pPr>
      <w:r>
        <w:rPr>
          <w:rFonts w:hint="eastAsia" w:ascii="仿宋_GB2312" w:eastAsia="仿宋_GB2312" w:cs="仿宋"/>
          <w:b w:val="0"/>
          <w:sz w:val="28"/>
          <w:szCs w:val="28"/>
          <w:lang w:val="en-US" w:eastAsia="zh-CN"/>
        </w:rPr>
        <w:t>5.本合同解除后，不影响合同中关于质量保证期及质保期服务的约定。对于合同解除时已交付、验收合格的设备，乙方仍应按本合同约定的质保期及质保条件，继续承担质保期内的维修、更换等义务。</w:t>
      </w:r>
    </w:p>
    <w:p w14:paraId="7ECE8664">
      <w:pPr>
        <w:pStyle w:val="59"/>
        <w:spacing w:line="420" w:lineRule="exact"/>
        <w:rPr>
          <w:rFonts w:hint="eastAsia" w:ascii="仿宋_GB2312" w:eastAsia="仿宋_GB2312"/>
          <w:sz w:val="28"/>
          <w:szCs w:val="28"/>
        </w:rPr>
      </w:pPr>
      <w:r>
        <w:rPr>
          <w:rFonts w:hint="eastAsia" w:ascii="仿宋_GB2312" w:eastAsia="仿宋_GB2312"/>
          <w:sz w:val="28"/>
          <w:szCs w:val="28"/>
          <w:lang w:val="en-US" w:eastAsia="zh-CN"/>
        </w:rPr>
        <w:t>七、</w:t>
      </w:r>
      <w:r>
        <w:rPr>
          <w:rFonts w:hint="eastAsia" w:ascii="仿宋_GB2312" w:eastAsia="仿宋_GB2312"/>
          <w:sz w:val="28"/>
          <w:szCs w:val="28"/>
        </w:rPr>
        <w:t>争议解决</w:t>
      </w:r>
    </w:p>
    <w:p w14:paraId="06D2808B">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双方约定，在履行本合同过程中发生争议，双方协商解决；协商不成时，依法向甲方所在地人民法院提起诉讼。</w:t>
      </w:r>
    </w:p>
    <w:bookmarkEnd w:id="153"/>
    <w:p w14:paraId="3D12DEC1">
      <w:pPr>
        <w:pStyle w:val="59"/>
        <w:spacing w:line="420" w:lineRule="exact"/>
        <w:rPr>
          <w:rFonts w:hint="eastAsia" w:ascii="仿宋_GB2312" w:eastAsia="仿宋_GB2312"/>
          <w:sz w:val="28"/>
          <w:szCs w:val="28"/>
        </w:rPr>
      </w:pPr>
      <w:bookmarkStart w:id="154" w:name="_Toc521503318"/>
      <w:r>
        <w:rPr>
          <w:rFonts w:hint="eastAsia" w:ascii="仿宋_GB2312" w:eastAsia="仿宋_GB2312"/>
          <w:sz w:val="28"/>
          <w:szCs w:val="28"/>
          <w:lang w:val="en-US" w:eastAsia="zh-CN"/>
        </w:rPr>
        <w:t>八、</w:t>
      </w:r>
      <w:r>
        <w:rPr>
          <w:rFonts w:hint="eastAsia" w:ascii="仿宋_GB2312" w:eastAsia="仿宋_GB2312"/>
          <w:sz w:val="28"/>
          <w:szCs w:val="28"/>
        </w:rPr>
        <w:t>其他约定事项</w:t>
      </w:r>
      <w:bookmarkEnd w:id="154"/>
    </w:p>
    <w:p w14:paraId="7F2537F0">
      <w:pPr>
        <w:snapToGrid w:val="0"/>
        <w:spacing w:line="420" w:lineRule="exact"/>
        <w:ind w:firstLine="560" w:firstLineChars="200"/>
        <w:rPr>
          <w:rFonts w:hint="eastAsia" w:ascii="仿宋_GB2312" w:eastAsia="仿宋_GB2312" w:cs="仿宋"/>
          <w:sz w:val="28"/>
          <w:szCs w:val="28"/>
          <w:u w:val="single"/>
        </w:rPr>
      </w:pPr>
      <w:r>
        <w:rPr>
          <w:rFonts w:hint="eastAsia" w:ascii="仿宋_GB2312" w:eastAsia="仿宋_GB2312" w:cs="仿宋"/>
          <w:sz w:val="28"/>
          <w:szCs w:val="28"/>
        </w:rPr>
        <w:t>1</w:t>
      </w:r>
      <w:r>
        <w:rPr>
          <w:rFonts w:hint="eastAsia" w:ascii="仿宋_GB2312" w:eastAsia="仿宋_GB2312" w:cs="仿宋"/>
          <w:sz w:val="28"/>
          <w:szCs w:val="28"/>
          <w:lang w:val="en-US" w:eastAsia="zh-CN"/>
        </w:rPr>
        <w:t>.</w:t>
      </w:r>
      <w:r>
        <w:rPr>
          <w:rFonts w:hint="eastAsia" w:ascii="仿宋_GB2312" w:eastAsia="仿宋_GB2312" w:cs="仿宋"/>
          <w:sz w:val="28"/>
          <w:szCs w:val="28"/>
        </w:rPr>
        <w:t>特别约定事项：</w:t>
      </w:r>
    </w:p>
    <w:p w14:paraId="68853517">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2</w:t>
      </w:r>
      <w:r>
        <w:rPr>
          <w:rFonts w:hint="eastAsia" w:ascii="仿宋_GB2312" w:eastAsia="仿宋_GB2312" w:cs="仿宋"/>
          <w:sz w:val="28"/>
          <w:szCs w:val="28"/>
          <w:lang w:val="en-US" w:eastAsia="zh-CN"/>
        </w:rPr>
        <w:t>.</w:t>
      </w:r>
      <w:r>
        <w:rPr>
          <w:rFonts w:hint="eastAsia" w:ascii="仿宋_GB2312" w:eastAsia="仿宋_GB2312" w:cs="仿宋"/>
          <w:sz w:val="28"/>
          <w:szCs w:val="28"/>
        </w:rPr>
        <w:t>合同文件包括此合同书和下列文件，是本合同不可分割的一部分：</w:t>
      </w:r>
    </w:p>
    <w:p w14:paraId="608340F8">
      <w:pPr>
        <w:snapToGrid w:val="0"/>
        <w:spacing w:line="420" w:lineRule="exact"/>
        <w:ind w:firstLine="560" w:firstLineChars="200"/>
        <w:rPr>
          <w:rFonts w:hint="eastAsia" w:ascii="仿宋_GB2312" w:eastAsia="仿宋_GB2312" w:cs="仿宋"/>
          <w:sz w:val="28"/>
          <w:szCs w:val="28"/>
          <w:lang w:eastAsia="zh-CN"/>
        </w:rPr>
      </w:pPr>
      <w:r>
        <w:rPr>
          <w:rFonts w:hint="eastAsia" w:ascii="仿宋_GB2312" w:eastAsia="仿宋_GB2312" w:cs="仿宋"/>
          <w:sz w:val="28"/>
          <w:szCs w:val="28"/>
        </w:rPr>
        <w:t>（1）本合同</w:t>
      </w:r>
      <w:r>
        <w:rPr>
          <w:rFonts w:hint="eastAsia" w:ascii="仿宋_GB2312" w:eastAsia="仿宋_GB2312" w:cs="仿宋"/>
          <w:sz w:val="28"/>
          <w:szCs w:val="28"/>
          <w:lang w:eastAsia="zh-CN"/>
        </w:rPr>
        <w:t>；</w:t>
      </w:r>
    </w:p>
    <w:p w14:paraId="5897EED0">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 xml:space="preserve">（2）招标文件； </w:t>
      </w:r>
    </w:p>
    <w:p w14:paraId="1D7EA5C4">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 xml:space="preserve">（3）投标文件； </w:t>
      </w:r>
    </w:p>
    <w:p w14:paraId="71DB41A8">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（4）乙方所有对甲方的承诺函件；</w:t>
      </w:r>
    </w:p>
    <w:p w14:paraId="1765E094">
      <w:pPr>
        <w:snapToGrid w:val="0"/>
        <w:spacing w:line="420" w:lineRule="exact"/>
        <w:ind w:firstLine="700" w:firstLineChars="250"/>
        <w:rPr>
          <w:rFonts w:hint="eastAsia" w:ascii="仿宋_GB2312" w:eastAsia="仿宋_GB2312" w:cs="仿宋"/>
          <w:sz w:val="28"/>
          <w:szCs w:val="28"/>
        </w:rPr>
      </w:pPr>
      <w:r>
        <w:rPr>
          <w:rFonts w:hint="eastAsia" w:ascii="仿宋_GB2312" w:eastAsia="仿宋_GB2312" w:cs="仿宋"/>
          <w:sz w:val="28"/>
          <w:szCs w:val="28"/>
        </w:rPr>
        <w:t>本合同效力高于其它合同文件，如果合同文件中出现分歧，则以本合同文件为准。</w:t>
      </w:r>
    </w:p>
    <w:p w14:paraId="4199D8EF">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3</w:t>
      </w:r>
      <w:r>
        <w:rPr>
          <w:rFonts w:hint="eastAsia" w:ascii="仿宋_GB2312" w:eastAsia="仿宋_GB2312" w:cs="仿宋"/>
          <w:sz w:val="28"/>
          <w:szCs w:val="28"/>
          <w:lang w:val="en-US" w:eastAsia="zh-CN"/>
        </w:rPr>
        <w:t>.</w:t>
      </w:r>
      <w:r>
        <w:rPr>
          <w:rFonts w:hint="eastAsia" w:ascii="仿宋_GB2312" w:eastAsia="仿宋_GB2312" w:cs="仿宋"/>
          <w:sz w:val="28"/>
          <w:szCs w:val="28"/>
        </w:rPr>
        <w:t>对本合同的变更只能经双方法定代表人或授权委托人签署补充合同，并加盖本合同统一公章，其他以会议纪要等形式对合同更改的一律无效。</w:t>
      </w:r>
    </w:p>
    <w:p w14:paraId="2EE3D4F7">
      <w:pPr>
        <w:snapToGrid w:val="0"/>
        <w:spacing w:line="420" w:lineRule="exact"/>
        <w:ind w:firstLine="506" w:firstLineChars="181"/>
        <w:rPr>
          <w:rFonts w:hint="eastAsia" w:ascii="仿宋_GB2312" w:eastAsia="仿宋_GB2312" w:cs="仿宋"/>
          <w:sz w:val="28"/>
          <w:szCs w:val="28"/>
        </w:rPr>
      </w:pPr>
      <w:r>
        <w:rPr>
          <w:rFonts w:hint="eastAsia" w:ascii="仿宋_GB2312" w:eastAsia="仿宋_GB2312" w:cs="仿宋"/>
          <w:sz w:val="28"/>
          <w:szCs w:val="28"/>
        </w:rPr>
        <w:t>4</w:t>
      </w:r>
      <w:r>
        <w:rPr>
          <w:rFonts w:hint="eastAsia" w:ascii="仿宋_GB2312" w:eastAsia="仿宋_GB2312" w:cs="仿宋"/>
          <w:sz w:val="28"/>
          <w:szCs w:val="28"/>
          <w:lang w:val="en-US" w:eastAsia="zh-CN"/>
        </w:rPr>
        <w:t>.</w:t>
      </w:r>
      <w:r>
        <w:rPr>
          <w:rFonts w:hint="eastAsia" w:ascii="仿宋_GB2312" w:eastAsia="仿宋_GB2312" w:cs="仿宋"/>
          <w:sz w:val="28"/>
          <w:szCs w:val="28"/>
        </w:rPr>
        <w:t>下列合同附件是本合同组成部分,具有同等法律效力，与本合同不相符时，以本合同为准。</w:t>
      </w:r>
    </w:p>
    <w:p w14:paraId="6C08F1C9">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5</w:t>
      </w:r>
      <w:r>
        <w:rPr>
          <w:rFonts w:hint="eastAsia" w:ascii="仿宋_GB2312" w:eastAsia="仿宋_GB2312" w:cs="仿宋"/>
          <w:sz w:val="28"/>
          <w:szCs w:val="28"/>
          <w:lang w:val="en-US" w:eastAsia="zh-CN"/>
        </w:rPr>
        <w:t>.</w:t>
      </w:r>
      <w:r>
        <w:rPr>
          <w:rFonts w:hint="eastAsia" w:ascii="仿宋_GB2312" w:eastAsia="仿宋_GB2312" w:cs="仿宋"/>
          <w:sz w:val="28"/>
          <w:szCs w:val="28"/>
        </w:rPr>
        <w:t>双方往来均以书面形式为准。</w:t>
      </w:r>
    </w:p>
    <w:p w14:paraId="7741BDC1">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rPr>
        <w:t>6</w:t>
      </w:r>
      <w:r>
        <w:rPr>
          <w:rFonts w:hint="eastAsia" w:ascii="仿宋_GB2312" w:eastAsia="仿宋_GB2312" w:cs="仿宋"/>
          <w:sz w:val="28"/>
          <w:szCs w:val="28"/>
          <w:lang w:val="en-US" w:eastAsia="zh-CN"/>
        </w:rPr>
        <w:t>.</w:t>
      </w:r>
      <w:r>
        <w:rPr>
          <w:rFonts w:hint="eastAsia" w:ascii="仿宋_GB2312" w:eastAsia="仿宋_GB2312" w:cs="仿宋"/>
          <w:sz w:val="28"/>
          <w:szCs w:val="28"/>
        </w:rPr>
        <w:t>本合同经双方签字并盖章后生效。</w:t>
      </w:r>
    </w:p>
    <w:p w14:paraId="638838DB">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7</w:t>
      </w:r>
      <w:r>
        <w:rPr>
          <w:rFonts w:hint="eastAsia" w:ascii="仿宋_GB2312" w:eastAsia="仿宋_GB2312" w:cs="仿宋"/>
          <w:sz w:val="28"/>
          <w:szCs w:val="28"/>
          <w:lang w:val="en-US" w:eastAsia="zh-CN"/>
        </w:rPr>
        <w:t>.</w:t>
      </w:r>
      <w:r>
        <w:rPr>
          <w:rFonts w:hint="eastAsia" w:ascii="仿宋_GB2312" w:eastAsia="仿宋_GB2312" w:cs="仿宋"/>
          <w:sz w:val="28"/>
          <w:szCs w:val="28"/>
        </w:rPr>
        <w:t>签订地点：济南市章丘区</w:t>
      </w:r>
    </w:p>
    <w:p w14:paraId="44FC51FD">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8</w:t>
      </w:r>
      <w:r>
        <w:rPr>
          <w:rFonts w:hint="eastAsia" w:ascii="仿宋_GB2312" w:eastAsia="仿宋_GB2312" w:cs="仿宋"/>
          <w:sz w:val="28"/>
          <w:szCs w:val="28"/>
          <w:lang w:val="en-US" w:eastAsia="zh-CN"/>
        </w:rPr>
        <w:t>.</w:t>
      </w:r>
      <w:r>
        <w:rPr>
          <w:rFonts w:hint="eastAsia" w:ascii="仿宋_GB2312" w:eastAsia="仿宋_GB2312" w:cs="仿宋"/>
          <w:sz w:val="28"/>
          <w:szCs w:val="28"/>
        </w:rPr>
        <w:t>本合同一式</w:t>
      </w:r>
      <w:r>
        <w:rPr>
          <w:rFonts w:hint="eastAsia" w:ascii="仿宋_GB2312" w:eastAsia="仿宋_GB2312" w:cs="仿宋"/>
          <w:sz w:val="28"/>
          <w:szCs w:val="28"/>
          <w:lang w:val="en-US" w:eastAsia="zh-CN"/>
        </w:rPr>
        <w:t>五</w:t>
      </w:r>
      <w:r>
        <w:rPr>
          <w:rFonts w:hint="eastAsia" w:ascii="仿宋_GB2312" w:eastAsia="仿宋_GB2312" w:cs="仿宋"/>
          <w:sz w:val="28"/>
          <w:szCs w:val="28"/>
        </w:rPr>
        <w:t>份，甲方</w:t>
      </w:r>
      <w:r>
        <w:rPr>
          <w:rFonts w:hint="eastAsia" w:ascii="仿宋_GB2312" w:eastAsia="仿宋_GB2312" w:cs="仿宋"/>
          <w:sz w:val="28"/>
          <w:szCs w:val="28"/>
          <w:lang w:val="en-US" w:eastAsia="zh-CN"/>
        </w:rPr>
        <w:t>三</w:t>
      </w:r>
      <w:r>
        <w:rPr>
          <w:rFonts w:hint="eastAsia" w:ascii="仿宋_GB2312" w:eastAsia="仿宋_GB2312" w:cs="仿宋"/>
          <w:sz w:val="28"/>
          <w:szCs w:val="28"/>
        </w:rPr>
        <w:t>份，乙方两份，均具同等法律效力。</w:t>
      </w:r>
    </w:p>
    <w:bookmarkEnd w:id="152"/>
    <w:p w14:paraId="183B0938">
      <w:pPr>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s="仿宋"/>
          <w:sz w:val="28"/>
          <w:szCs w:val="28"/>
          <w:lang w:val="en-US" w:eastAsia="zh-CN"/>
        </w:rPr>
      </w:pPr>
    </w:p>
    <w:p w14:paraId="43052A49">
      <w:pPr>
        <w:pageBreakBefore w:val="0"/>
        <w:widowControl w:val="0"/>
        <w:kinsoku/>
        <w:wordWrap/>
        <w:overflowPunct/>
        <w:topLinePunct w:val="0"/>
        <w:autoSpaceDE/>
        <w:autoSpaceDN/>
        <w:bidi w:val="0"/>
        <w:adjustRightInd/>
        <w:snapToGrid w:val="0"/>
        <w:spacing w:line="240" w:lineRule="auto"/>
        <w:textAlignment w:val="auto"/>
        <w:rPr>
          <w:rFonts w:hint="default" w:eastAsia="宋体"/>
          <w:lang w:val="en-US" w:eastAsia="zh-CN"/>
        </w:rPr>
      </w:pPr>
      <w:r>
        <w:rPr>
          <w:rFonts w:hint="eastAsia" w:ascii="仿宋_GB2312" w:eastAsia="仿宋_GB2312" w:cs="仿宋"/>
          <w:sz w:val="28"/>
          <w:szCs w:val="28"/>
          <w:lang w:val="en-US" w:eastAsia="zh-CN"/>
        </w:rPr>
        <w:t>合同</w:t>
      </w:r>
      <w:r>
        <w:rPr>
          <w:rFonts w:hint="eastAsia" w:ascii="仿宋_GB2312" w:eastAsia="仿宋_GB2312" w:cs="仿宋"/>
          <w:sz w:val="28"/>
          <w:szCs w:val="28"/>
        </w:rPr>
        <w:t>附件：廉洁协议书</w:t>
      </w:r>
    </w:p>
    <w:p w14:paraId="5780CEB7">
      <w:pPr>
        <w:snapToGrid w:val="0"/>
        <w:spacing w:line="360" w:lineRule="auto"/>
        <w:ind w:firstLine="560" w:firstLineChars="200"/>
        <w:rPr>
          <w:rFonts w:hint="eastAsia" w:ascii="仿宋_GB2312" w:eastAsia="仿宋_GB2312" w:cs="仿宋"/>
          <w:sz w:val="28"/>
          <w:szCs w:val="28"/>
        </w:rPr>
      </w:pPr>
    </w:p>
    <w:p w14:paraId="71B4E509">
      <w:pPr>
        <w:snapToGrid w:val="0"/>
        <w:spacing w:line="360" w:lineRule="auto"/>
        <w:ind w:firstLine="480" w:firstLineChars="200"/>
        <w:jc w:val="center"/>
        <w:rPr>
          <w:rFonts w:hint="eastAsia" w:ascii="仿宋_GB2312" w:eastAsia="仿宋_GB2312" w:cs="仿宋"/>
          <w:sz w:val="24"/>
        </w:rPr>
      </w:pPr>
    </w:p>
    <w:tbl>
      <w:tblPr>
        <w:tblStyle w:val="46"/>
        <w:tblW w:w="9875"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476"/>
      </w:tblGrid>
      <w:tr w14:paraId="4CF2388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53" w:hRule="atLeast"/>
          <w:jc w:val="center"/>
        </w:trPr>
        <w:tc>
          <w:tcPr>
            <w:tcW w:w="5399" w:type="dxa"/>
            <w:noWrap w:val="0"/>
            <w:vAlign w:val="center"/>
          </w:tcPr>
          <w:p w14:paraId="64E00D15">
            <w:pPr>
              <w:spacing w:line="360" w:lineRule="auto"/>
              <w:ind w:right="348" w:rightChars="145"/>
              <w:rPr>
                <w:rFonts w:hint="eastAsia" w:ascii="仿宋_GB2312" w:eastAsia="仿宋_GB2312" w:cs="仿宋"/>
                <w:sz w:val="24"/>
              </w:rPr>
            </w:pPr>
            <w:r>
              <w:rPr>
                <w:rFonts w:hint="eastAsia" w:ascii="仿宋_GB2312" w:eastAsia="仿宋_GB2312" w:cs="仿宋"/>
                <w:sz w:val="24"/>
              </w:rPr>
              <w:t xml:space="preserve">甲方（盖章）：山东济钢环保新材料有限公司 </w:t>
            </w:r>
          </w:p>
        </w:tc>
        <w:tc>
          <w:tcPr>
            <w:tcW w:w="4476" w:type="dxa"/>
            <w:noWrap w:val="0"/>
            <w:vAlign w:val="center"/>
          </w:tcPr>
          <w:p w14:paraId="362D3CF5">
            <w:pPr>
              <w:keepLines/>
              <w:tabs>
                <w:tab w:val="left" w:pos="180"/>
                <w:tab w:val="left" w:pos="4320"/>
                <w:tab w:val="left" w:pos="5040"/>
                <w:tab w:val="right" w:pos="8640"/>
              </w:tabs>
              <w:spacing w:before="156" w:beforeLines="50" w:after="156" w:afterLines="50"/>
              <w:ind w:left="1605" w:hanging="1605" w:hangingChars="698"/>
              <w:rPr>
                <w:rFonts w:hint="eastAsia" w:ascii="仿宋_GB2312" w:eastAsia="仿宋_GB2312" w:cs="仿宋"/>
                <w:b/>
                <w:spacing w:val="-5"/>
                <w:sz w:val="24"/>
                <w:lang w:bidi="he-IL"/>
              </w:rPr>
            </w:pPr>
            <w:r>
              <w:rPr>
                <w:rFonts w:hint="eastAsia" w:ascii="仿宋_GB2312" w:eastAsia="仿宋_GB2312" w:cs="仿宋"/>
                <w:spacing w:val="-5"/>
                <w:sz w:val="24"/>
                <w:lang w:bidi="he-IL"/>
              </w:rPr>
              <w:t>乙方（盖章）：</w:t>
            </w:r>
            <w:r>
              <w:rPr>
                <w:rFonts w:hint="eastAsia" w:ascii="仿宋_GB2312" w:eastAsia="仿宋_GB2312" w:cs="仿宋"/>
                <w:b/>
                <w:spacing w:val="-5"/>
                <w:sz w:val="24"/>
                <w:lang w:bidi="he-IL"/>
              </w:rPr>
              <w:t xml:space="preserve"> </w:t>
            </w:r>
          </w:p>
        </w:tc>
      </w:tr>
      <w:tr w14:paraId="5D56B95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922" w:hRule="atLeast"/>
          <w:jc w:val="center"/>
        </w:trPr>
        <w:tc>
          <w:tcPr>
            <w:tcW w:w="5399" w:type="dxa"/>
            <w:noWrap w:val="0"/>
            <w:vAlign w:val="center"/>
          </w:tcPr>
          <w:p w14:paraId="1B901C8D">
            <w:pPr>
              <w:spacing w:line="360" w:lineRule="auto"/>
              <w:ind w:right="348" w:rightChars="145"/>
              <w:rPr>
                <w:rFonts w:hint="eastAsia" w:ascii="仿宋_GB2312" w:eastAsia="仿宋_GB2312" w:cs="仿宋"/>
                <w:sz w:val="24"/>
              </w:rPr>
            </w:pPr>
            <w:r>
              <w:rPr>
                <w:rFonts w:hint="eastAsia" w:ascii="仿宋_GB2312" w:eastAsia="仿宋_GB2312" w:cs="仿宋"/>
                <w:sz w:val="24"/>
              </w:rPr>
              <w:t xml:space="preserve">委托代理人（签字）： </w:t>
            </w:r>
          </w:p>
        </w:tc>
        <w:tc>
          <w:tcPr>
            <w:tcW w:w="4476" w:type="dxa"/>
            <w:noWrap w:val="0"/>
            <w:vAlign w:val="center"/>
          </w:tcPr>
          <w:p w14:paraId="6EABB704">
            <w:pPr>
              <w:spacing w:line="360" w:lineRule="auto"/>
              <w:ind w:right="348" w:rightChars="145"/>
              <w:rPr>
                <w:rFonts w:hint="eastAsia" w:ascii="仿宋_GB2312" w:eastAsia="仿宋_GB2312" w:cs="仿宋"/>
                <w:sz w:val="24"/>
              </w:rPr>
            </w:pPr>
            <w:r>
              <w:rPr>
                <w:rFonts w:hint="eastAsia" w:ascii="仿宋_GB2312" w:eastAsia="仿宋_GB2312" w:cs="仿宋"/>
                <w:sz w:val="24"/>
              </w:rPr>
              <w:t>委托代理人（签字）：</w:t>
            </w:r>
          </w:p>
        </w:tc>
      </w:tr>
      <w:tr w14:paraId="30A506C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5AD8D159">
            <w:pPr>
              <w:spacing w:line="360" w:lineRule="auto"/>
              <w:ind w:right="348" w:rightChars="145"/>
              <w:rPr>
                <w:rFonts w:hint="eastAsia" w:ascii="仿宋_GB2312" w:eastAsia="仿宋_GB2312" w:cs="仿宋"/>
                <w:sz w:val="24"/>
              </w:rPr>
            </w:pPr>
            <w:r>
              <w:rPr>
                <w:rFonts w:hint="eastAsia" w:ascii="仿宋_GB2312" w:eastAsia="仿宋_GB2312" w:cs="仿宋"/>
                <w:sz w:val="24"/>
              </w:rPr>
              <w:t>开户行: 中国民生银行济南章丘支行</w:t>
            </w:r>
          </w:p>
        </w:tc>
        <w:tc>
          <w:tcPr>
            <w:tcW w:w="4476" w:type="dxa"/>
            <w:noWrap w:val="0"/>
            <w:vAlign w:val="center"/>
          </w:tcPr>
          <w:p w14:paraId="1B2B4334">
            <w:pPr>
              <w:keepLines/>
              <w:tabs>
                <w:tab w:val="left" w:pos="720"/>
                <w:tab w:val="left" w:pos="3780"/>
                <w:tab w:val="left" w:pos="4500"/>
                <w:tab w:val="right" w:pos="8640"/>
              </w:tabs>
              <w:spacing w:line="360" w:lineRule="auto"/>
              <w:rPr>
                <w:rFonts w:hint="eastAsia" w:ascii="仿宋_GB2312" w:eastAsia="仿宋_GB2312" w:cs="仿宋"/>
                <w:spacing w:val="-5"/>
                <w:sz w:val="24"/>
                <w:lang w:bidi="he-IL"/>
              </w:rPr>
            </w:pPr>
            <w:r>
              <w:rPr>
                <w:rFonts w:hint="eastAsia" w:ascii="仿宋_GB2312" w:eastAsia="仿宋_GB2312" w:cs="仿宋"/>
                <w:spacing w:val="-5"/>
                <w:sz w:val="24"/>
                <w:lang w:bidi="he-IL"/>
              </w:rPr>
              <w:t>开户行:</w:t>
            </w:r>
            <w:r>
              <w:rPr>
                <w:rFonts w:hint="eastAsia" w:ascii="仿宋_GB2312" w:eastAsia="仿宋_GB2312"/>
                <w:sz w:val="24"/>
              </w:rPr>
              <w:t xml:space="preserve"> </w:t>
            </w:r>
          </w:p>
        </w:tc>
      </w:tr>
      <w:tr w14:paraId="69AF7E4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59414845">
            <w:pPr>
              <w:spacing w:line="360" w:lineRule="auto"/>
              <w:ind w:right="348" w:rightChars="145"/>
              <w:rPr>
                <w:rFonts w:hint="eastAsia" w:ascii="仿宋_GB2312" w:eastAsia="仿宋_GB2312" w:cs="仿宋"/>
                <w:sz w:val="24"/>
              </w:rPr>
            </w:pPr>
            <w:r>
              <w:rPr>
                <w:rFonts w:hint="eastAsia" w:ascii="仿宋_GB2312" w:eastAsia="仿宋_GB2312" w:cs="仿宋"/>
                <w:sz w:val="24"/>
              </w:rPr>
              <w:t>账号：609055119</w:t>
            </w:r>
          </w:p>
        </w:tc>
        <w:tc>
          <w:tcPr>
            <w:tcW w:w="4476" w:type="dxa"/>
            <w:noWrap w:val="0"/>
            <w:vAlign w:val="center"/>
          </w:tcPr>
          <w:p w14:paraId="41820651">
            <w:pPr>
              <w:spacing w:line="240" w:lineRule="exact"/>
              <w:rPr>
                <w:rFonts w:hint="eastAsia" w:ascii="仿宋_GB2312" w:eastAsia="仿宋_GB2312" w:cs="仿宋"/>
                <w:spacing w:val="-5"/>
                <w:sz w:val="24"/>
                <w:lang w:bidi="he-IL"/>
              </w:rPr>
            </w:pPr>
            <w:r>
              <w:rPr>
                <w:rFonts w:hint="eastAsia" w:ascii="仿宋_GB2312" w:eastAsia="仿宋_GB2312" w:cs="仿宋"/>
                <w:sz w:val="24"/>
              </w:rPr>
              <w:t>账号</w:t>
            </w:r>
            <w:r>
              <w:rPr>
                <w:rFonts w:hint="eastAsia" w:ascii="仿宋_GB2312" w:eastAsia="仿宋_GB2312" w:cs="仿宋"/>
                <w:spacing w:val="-5"/>
                <w:sz w:val="24"/>
                <w:lang w:bidi="he-IL"/>
              </w:rPr>
              <w:t>：</w:t>
            </w:r>
          </w:p>
        </w:tc>
      </w:tr>
      <w:tr w14:paraId="69D584D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3023BC2E">
            <w:pPr>
              <w:keepLines/>
              <w:tabs>
                <w:tab w:val="left" w:pos="720"/>
                <w:tab w:val="left" w:pos="4320"/>
                <w:tab w:val="left" w:pos="5040"/>
                <w:tab w:val="right" w:pos="8640"/>
              </w:tabs>
              <w:spacing w:line="360" w:lineRule="auto"/>
              <w:rPr>
                <w:rFonts w:hint="eastAsia" w:ascii="仿宋_GB2312" w:eastAsia="仿宋_GB2312" w:cs="仿宋"/>
                <w:spacing w:val="-5"/>
                <w:sz w:val="24"/>
                <w:lang w:bidi="he-IL"/>
              </w:rPr>
            </w:pPr>
            <w:r>
              <w:rPr>
                <w:rFonts w:hint="eastAsia" w:ascii="仿宋_GB2312" w:eastAsia="仿宋_GB2312" w:cs="仿宋"/>
                <w:spacing w:val="-5"/>
                <w:sz w:val="24"/>
                <w:lang w:bidi="he-IL"/>
              </w:rPr>
              <w:t>税务登记证号：</w:t>
            </w:r>
            <w:r>
              <w:rPr>
                <w:rFonts w:hint="eastAsia" w:ascii="仿宋_GB2312" w:eastAsia="仿宋_GB2312" w:cs="仿宋"/>
                <w:sz w:val="24"/>
              </w:rPr>
              <w:t>91370181MA3MJQRU4Y</w:t>
            </w:r>
          </w:p>
        </w:tc>
        <w:tc>
          <w:tcPr>
            <w:tcW w:w="4476" w:type="dxa"/>
            <w:noWrap w:val="0"/>
            <w:vAlign w:val="center"/>
          </w:tcPr>
          <w:p w14:paraId="0FA51808">
            <w:pPr>
              <w:keepLines/>
              <w:tabs>
                <w:tab w:val="left" w:pos="720"/>
                <w:tab w:val="left" w:pos="4320"/>
                <w:tab w:val="left" w:pos="5040"/>
                <w:tab w:val="right" w:pos="8640"/>
              </w:tabs>
              <w:spacing w:line="360" w:lineRule="auto"/>
              <w:rPr>
                <w:rFonts w:hint="eastAsia" w:ascii="仿宋_GB2312" w:eastAsia="仿宋_GB2312" w:cs="仿宋"/>
                <w:spacing w:val="-5"/>
                <w:sz w:val="24"/>
                <w:lang w:bidi="he-IL"/>
              </w:rPr>
            </w:pPr>
            <w:r>
              <w:rPr>
                <w:rFonts w:hint="eastAsia" w:ascii="仿宋_GB2312" w:eastAsia="仿宋_GB2312" w:cs="仿宋"/>
                <w:spacing w:val="-5"/>
                <w:sz w:val="24"/>
                <w:lang w:bidi="he-IL"/>
              </w:rPr>
              <w:t>税务登记证号：</w:t>
            </w:r>
          </w:p>
        </w:tc>
      </w:tr>
      <w:tr w14:paraId="7E0617B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0069A65C">
            <w:pPr>
              <w:keepLines/>
              <w:tabs>
                <w:tab w:val="left" w:pos="720"/>
                <w:tab w:val="left" w:pos="4320"/>
                <w:tab w:val="left" w:pos="5040"/>
                <w:tab w:val="right" w:pos="8640"/>
              </w:tabs>
              <w:spacing w:line="360" w:lineRule="auto"/>
              <w:rPr>
                <w:rFonts w:hint="eastAsia" w:ascii="仿宋_GB2312" w:eastAsia="仿宋_GB2312" w:cs="仿宋"/>
                <w:b/>
                <w:spacing w:val="-10"/>
                <w:sz w:val="24"/>
                <w:lang w:bidi="he-IL"/>
              </w:rPr>
            </w:pPr>
            <w:r>
              <w:rPr>
                <w:rFonts w:hint="eastAsia" w:ascii="仿宋_GB2312" w:eastAsia="仿宋_GB2312" w:cs="仿宋"/>
                <w:spacing w:val="-5"/>
                <w:sz w:val="24"/>
                <w:lang w:bidi="he-IL"/>
              </w:rPr>
              <w:t>地址：</w:t>
            </w:r>
            <w:r>
              <w:rPr>
                <w:rFonts w:hint="eastAsia" w:ascii="仿宋_GB2312" w:eastAsia="仿宋_GB2312" w:cs="仿宋"/>
                <w:sz w:val="24"/>
              </w:rPr>
              <w:t>山东省济南市章丘区官庄街道青野村东</w:t>
            </w:r>
          </w:p>
        </w:tc>
        <w:tc>
          <w:tcPr>
            <w:tcW w:w="4476" w:type="dxa"/>
            <w:noWrap w:val="0"/>
            <w:vAlign w:val="top"/>
          </w:tcPr>
          <w:p w14:paraId="55A8530A">
            <w:pPr>
              <w:keepLines/>
              <w:tabs>
                <w:tab w:val="left" w:pos="720"/>
                <w:tab w:val="left" w:pos="4320"/>
                <w:tab w:val="left" w:pos="5040"/>
                <w:tab w:val="right" w:pos="8640"/>
              </w:tabs>
              <w:spacing w:line="360" w:lineRule="auto"/>
              <w:rPr>
                <w:rFonts w:hint="eastAsia" w:ascii="仿宋_GB2312" w:eastAsia="仿宋_GB2312" w:cs="仿宋"/>
                <w:b/>
                <w:spacing w:val="-10"/>
                <w:sz w:val="24"/>
                <w:lang w:bidi="he-IL"/>
              </w:rPr>
            </w:pPr>
            <w:r>
              <w:rPr>
                <w:rFonts w:hint="eastAsia" w:ascii="仿宋_GB2312" w:eastAsia="仿宋_GB2312" w:cs="仿宋"/>
                <w:spacing w:val="-5"/>
                <w:sz w:val="24"/>
                <w:lang w:bidi="he-IL"/>
              </w:rPr>
              <w:t>地址：</w:t>
            </w:r>
            <w:r>
              <w:rPr>
                <w:rFonts w:hint="eastAsia" w:ascii="仿宋_GB2312" w:eastAsia="仿宋_GB2312" w:cs="仿宋"/>
                <w:b/>
                <w:spacing w:val="-10"/>
                <w:sz w:val="24"/>
                <w:lang w:bidi="he-IL"/>
              </w:rPr>
              <w:t xml:space="preserve"> </w:t>
            </w:r>
          </w:p>
        </w:tc>
      </w:tr>
      <w:tr w14:paraId="49F287C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9875" w:type="dxa"/>
            <w:gridSpan w:val="2"/>
            <w:noWrap w:val="0"/>
            <w:vAlign w:val="center"/>
          </w:tcPr>
          <w:p w14:paraId="69AB9C29">
            <w:pPr>
              <w:keepLines/>
              <w:tabs>
                <w:tab w:val="left" w:pos="720"/>
                <w:tab w:val="left" w:pos="4320"/>
                <w:tab w:val="left" w:pos="5040"/>
                <w:tab w:val="right" w:pos="8640"/>
              </w:tabs>
              <w:spacing w:line="360" w:lineRule="auto"/>
              <w:jc w:val="center"/>
              <w:rPr>
                <w:rFonts w:hint="eastAsia" w:ascii="仿宋_GB2312" w:eastAsia="仿宋_GB2312" w:cs="仿宋"/>
                <w:spacing w:val="-5"/>
                <w:sz w:val="24"/>
                <w:lang w:bidi="he-IL"/>
              </w:rPr>
            </w:pPr>
            <w:r>
              <w:rPr>
                <w:rFonts w:hint="eastAsia" w:ascii="仿宋_GB2312" w:eastAsia="仿宋_GB2312" w:cs="仿宋"/>
                <w:spacing w:val="-5"/>
                <w:sz w:val="24"/>
                <w:lang w:bidi="he-IL"/>
              </w:rPr>
              <w:t xml:space="preserve">                                签订日期：   年   月   日</w:t>
            </w:r>
          </w:p>
        </w:tc>
      </w:tr>
    </w:tbl>
    <w:p w14:paraId="4468F2C6">
      <w:pPr>
        <w:pStyle w:val="59"/>
        <w:ind w:left="0" w:firstLine="482" w:firstLineChars="200"/>
        <w:jc w:val="left"/>
        <w:rPr>
          <w:szCs w:val="22"/>
        </w:rPr>
      </w:pPr>
      <w:r>
        <w:rPr>
          <w:rFonts w:hint="eastAsia" w:cs="仿宋"/>
          <w:szCs w:val="20"/>
        </w:rPr>
        <w:t>注：</w:t>
      </w:r>
      <w:r>
        <w:rPr>
          <w:rFonts w:hint="eastAsia"/>
          <w:szCs w:val="22"/>
        </w:rPr>
        <w:t>招标文件中的合同条款为主要条款，双方的权利义务以未来签订的商务合同为准。未来签订的商务合同的条款存在与本招标文件不一致的地方，但不会对实质性内容进行改变。</w:t>
      </w:r>
    </w:p>
    <w:bookmarkEnd w:id="145"/>
    <w:p w14:paraId="27792915">
      <w:pPr>
        <w:pStyle w:val="59"/>
        <w:rPr>
          <w:rFonts w:hint="eastAsia"/>
        </w:rPr>
      </w:pPr>
      <w:bookmarkStart w:id="155" w:name="_Toc508871751"/>
    </w:p>
    <w:p w14:paraId="49918A34">
      <w:pPr>
        <w:pStyle w:val="59"/>
        <w:rPr>
          <w:rFonts w:hint="eastAsia"/>
        </w:rPr>
      </w:pPr>
    </w:p>
    <w:p w14:paraId="65AC86C0">
      <w:pPr>
        <w:pStyle w:val="59"/>
        <w:rPr>
          <w:rFonts w:hint="eastAsia"/>
        </w:rPr>
      </w:pPr>
    </w:p>
    <w:p w14:paraId="0C465B3A">
      <w:pPr>
        <w:pStyle w:val="59"/>
        <w:rPr>
          <w:rFonts w:hint="eastAsia"/>
        </w:rPr>
      </w:pPr>
    </w:p>
    <w:bookmarkEnd w:id="155"/>
    <w:p w14:paraId="398DC3F2">
      <w:pPr>
        <w:snapToGrid w:val="0"/>
        <w:spacing w:line="420" w:lineRule="exact"/>
        <w:ind w:firstLine="506" w:firstLineChars="181"/>
        <w:jc w:val="left"/>
        <w:rPr>
          <w:rFonts w:hint="eastAsia" w:ascii="仿宋_GB2312" w:eastAsia="仿宋_GB2312" w:cs="仿宋"/>
          <w:sz w:val="28"/>
          <w:szCs w:val="28"/>
        </w:rPr>
      </w:pPr>
      <w:r>
        <w:rPr>
          <w:rFonts w:hint="eastAsia" w:ascii="仿宋_GB2312" w:eastAsia="仿宋_GB2312" w:cs="仿宋"/>
          <w:sz w:val="28"/>
          <w:szCs w:val="28"/>
        </w:rPr>
        <w:t xml:space="preserve">附件               </w:t>
      </w:r>
    </w:p>
    <w:p w14:paraId="48C43850">
      <w:pPr>
        <w:keepNext w:val="0"/>
        <w:pageBreakBefore w:val="0"/>
        <w:kinsoku/>
        <w:overflowPunct/>
        <w:topLinePunct w:val="0"/>
        <w:bidi w:val="0"/>
        <w:spacing w:line="240" w:lineRule="exact"/>
        <w:jc w:val="center"/>
        <w:textAlignment w:val="auto"/>
        <w:rPr>
          <w:rFonts w:hint="eastAsia" w:ascii="黑体" w:hAnsi="宋体" w:eastAsia="黑体" w:cs="Times New Roman"/>
          <w:b/>
          <w:bCs/>
          <w:kern w:val="0"/>
          <w:sz w:val="24"/>
          <w:szCs w:val="24"/>
          <w:lang w:val="en-US" w:eastAsia="zh-CN" w:bidi="ar-SA"/>
        </w:rPr>
      </w:pPr>
      <w:r>
        <w:rPr>
          <w:rFonts w:hint="eastAsia" w:ascii="黑体" w:hAnsi="宋体" w:eastAsia="黑体" w:cs="Times New Roman"/>
          <w:b/>
          <w:bCs/>
          <w:kern w:val="0"/>
          <w:sz w:val="24"/>
          <w:szCs w:val="24"/>
          <w:lang w:val="en-US" w:eastAsia="zh-CN" w:bidi="ar-SA"/>
        </w:rPr>
        <w:t>廉洁协议书</w:t>
      </w:r>
    </w:p>
    <w:p w14:paraId="64A3A962">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为规范甲乙双方在业务交往活动中的行为，严防在业务活动中发生违规违纪违法行为，经双方协商，达成廉洁协议如下：</w:t>
      </w:r>
    </w:p>
    <w:p w14:paraId="3B58CE31">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第一条 甲乙双方共同责任</w:t>
      </w:r>
    </w:p>
    <w:p w14:paraId="28ED7C38">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1、严格遵守国家的法律法规及廉政建设有关规定。</w:t>
      </w:r>
    </w:p>
    <w:p w14:paraId="744F0FEE">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2、共同营造廉洁、诚信、公平、公正的业务交往环境。</w:t>
      </w:r>
    </w:p>
    <w:p w14:paraId="62530C63">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3、加强对有关人员的管理和教育，自觉抵制不廉洁行为。</w:t>
      </w:r>
    </w:p>
    <w:p w14:paraId="64667FB9">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4、发现对方及及其人员在业务活动中有违反廉政规定的行为，有及时要求对方纠正，并向纪检监察机关或司法机关举报的权利和义务。</w:t>
      </w:r>
    </w:p>
    <w:p w14:paraId="4B848F05">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第二条 甲方及其人员的责任</w:t>
      </w:r>
    </w:p>
    <w:p w14:paraId="6784A268">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1、禁止索要或接受乙方及其相关单位和人员提供的回扣、礼金、有价证劵、支付凭证、贵重物品等。</w:t>
      </w:r>
    </w:p>
    <w:p w14:paraId="4F09AEF6">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2、禁止在乙方及其相关单位报销任何应由甲方或个人支付的费用。</w:t>
      </w:r>
    </w:p>
    <w:p w14:paraId="35C99646">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3、禁止在乙方及其相关单位投资入股，禁止向乙方单位及人员借款或委托买卖股票、债券等。</w:t>
      </w:r>
    </w:p>
    <w:p w14:paraId="6F08A191">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4、禁止暗示、要求和接受乙方及其相关单位为其购买或装修住房，为婚丧嫁娶、配偶和子女的工作安排或上学等提供方便。</w:t>
      </w:r>
    </w:p>
    <w:p w14:paraId="46FA64BB">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5、禁止接受乙方及其相关单位安排的宴请以及旅游、健身等娱乐活动。</w:t>
      </w:r>
    </w:p>
    <w:p w14:paraId="335C9CDF">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6、禁止接受乙方及其相关单位购置或提供的通讯工具、交通工具和高档办公用品。</w:t>
      </w:r>
    </w:p>
    <w:p w14:paraId="7C59FC43">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7、禁止通过乙方及其相关单位为其配偶、子女及他人谋取不正当利益。</w:t>
      </w:r>
    </w:p>
    <w:p w14:paraId="29D0DBC2">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8、禁止在乙方或乙方相关单位兼职和领取兼职工资及报酬；禁止利用甲方的商业秘密谋取个人私利。</w:t>
      </w:r>
    </w:p>
    <w:p w14:paraId="3FB02689">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9、禁止利用职权和工作之便向乙方提出上述各项禁止事项之外其它违背党规党纪、国家法律法规和本公司廉洁自律有关规定的事项或要求。</w:t>
      </w:r>
    </w:p>
    <w:p w14:paraId="07B52EBC">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b w:val="0"/>
          <w:bCs w:val="0"/>
          <w:kern w:val="0"/>
          <w:sz w:val="21"/>
          <w:szCs w:val="21"/>
        </w:rPr>
      </w:pPr>
      <w:r>
        <w:rPr>
          <w:rFonts w:hint="eastAsia" w:ascii="宋体" w:hAnsi="宋体" w:eastAsia="宋体" w:cs="宋体"/>
          <w:kern w:val="0"/>
          <w:sz w:val="21"/>
          <w:szCs w:val="21"/>
        </w:rPr>
        <w:t>10、</w:t>
      </w:r>
      <w:r>
        <w:rPr>
          <w:rFonts w:hint="eastAsia" w:ascii="宋体" w:hAnsi="宋体" w:eastAsia="宋体" w:cs="宋体"/>
          <w:b w:val="0"/>
          <w:bCs w:val="0"/>
          <w:kern w:val="0"/>
          <w:sz w:val="21"/>
          <w:szCs w:val="21"/>
        </w:rPr>
        <w:t>如乙方有知悉/怀疑甲方员工有违反上述规定的，欢迎与甲方纪委办联系。甲方设定专用电话</w:t>
      </w:r>
      <w:r>
        <w:rPr>
          <w:rFonts w:hint="eastAsia" w:ascii="宋体" w:hAnsi="宋体" w:eastAsia="宋体" w:cs="宋体"/>
          <w:b w:val="0"/>
          <w:bCs w:val="0"/>
          <w:kern w:val="0"/>
          <w:sz w:val="21"/>
          <w:szCs w:val="21"/>
          <w:lang w:val="en-US" w:eastAsia="zh-CN"/>
        </w:rPr>
        <w:t>0531-83790163</w:t>
      </w:r>
      <w:r>
        <w:rPr>
          <w:rFonts w:hint="eastAsia" w:ascii="宋体" w:hAnsi="宋体" w:eastAsia="宋体" w:cs="宋体"/>
          <w:b w:val="0"/>
          <w:bCs w:val="0"/>
          <w:kern w:val="0"/>
          <w:sz w:val="21"/>
          <w:szCs w:val="21"/>
        </w:rPr>
        <w:t>接受乙方的投诉</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甲方会对所有信息提供者及所提供的全部资料严格保密。</w:t>
      </w:r>
    </w:p>
    <w:p w14:paraId="10E8E6DF">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第三条 乙方及其人员责任</w:t>
      </w:r>
    </w:p>
    <w:p w14:paraId="261343FA">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1、禁止向甲方及其人员提供回扣、礼金、有价证劵、支付凭证、贵重物品等。</w:t>
      </w:r>
    </w:p>
    <w:p w14:paraId="4B430897">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2、禁止为甲方及其人员报销应由甲方或甲方个人支付的费用。</w:t>
      </w:r>
    </w:p>
    <w:p w14:paraId="1FA7E56F">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3、禁止为甲方及其人员在乙方投资入股、个人借款等提供方便。</w:t>
      </w:r>
    </w:p>
    <w:p w14:paraId="20BAEC34">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4、禁止为甲方及其人员购买或装修住房，为婚丧嫁娶、配偶和子女工作安排或上学等提供方便。</w:t>
      </w:r>
    </w:p>
    <w:p w14:paraId="553ABB72">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5、禁止为甲方及其人员安排宴请以及旅游、健身、娱乐等活动。</w:t>
      </w:r>
    </w:p>
    <w:p w14:paraId="45D082B6">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6、禁止为甲方及其人员购置或提供通讯工具、交通工具和高档办公用品。</w:t>
      </w:r>
    </w:p>
    <w:p w14:paraId="52FDA8F2">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7、禁止为甲方及其人员的配偶、子女及其它亲属谋取不正当利益提供方便。</w:t>
      </w:r>
    </w:p>
    <w:p w14:paraId="4D01A709">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8、禁止安排甲方人员在乙方或乙方相关企业兼职和领取兼职工资及报酬；禁止向甲方人员打探有关涉及甲方的商业秘密。</w:t>
      </w:r>
    </w:p>
    <w:p w14:paraId="4CE45A4F">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9、甲方对涉嫌与甲方有关的不廉洁行为进行调查时，乙方有配合甲方提供证据、作证的义务</w:t>
      </w:r>
      <w:r>
        <w:rPr>
          <w:rFonts w:hint="eastAsia" w:ascii="宋体" w:hAnsi="宋体" w:eastAsia="宋体" w:cs="宋体"/>
          <w:kern w:val="0"/>
          <w:sz w:val="21"/>
          <w:szCs w:val="21"/>
          <w:lang w:eastAsia="zh-CN"/>
        </w:rPr>
        <w:t>。</w:t>
      </w:r>
    </w:p>
    <w:p w14:paraId="195CF328">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第四条 违约责任</w:t>
      </w:r>
    </w:p>
    <w:p w14:paraId="7F648BEF">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1、甲方及其人员有违反本协议第一条、第二条规定的，按照管理权限，依据有关纪律规定给予有关人员纪律处分或组织处理；涉嫌犯罪的，移交司法机关追究刑事责任。</w:t>
      </w:r>
    </w:p>
    <w:p w14:paraId="3B8DB456">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5823B688">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第五条 本协议</w:t>
      </w:r>
      <w:r>
        <w:rPr>
          <w:rFonts w:hint="eastAsia" w:cs="宋体"/>
          <w:kern w:val="0"/>
          <w:sz w:val="21"/>
          <w:szCs w:val="21"/>
          <w:lang w:eastAsia="zh-CN"/>
        </w:rPr>
        <w:t>随主合同</w:t>
      </w:r>
      <w:r>
        <w:rPr>
          <w:rFonts w:hint="eastAsia" w:ascii="宋体" w:hAnsi="宋体" w:eastAsia="宋体" w:cs="宋体"/>
          <w:kern w:val="0"/>
          <w:sz w:val="21"/>
          <w:szCs w:val="21"/>
        </w:rPr>
        <w:t>经双方签署后生效</w:t>
      </w:r>
    </w:p>
    <w:p w14:paraId="0D924D55">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甲乙双方通过招标或其它方式签订业务合同时，必须签署本协议。本协议作为业务合同的附件，与合同具有同等效力；如双方未签订合同，本协议独立有效。</w:t>
      </w:r>
    </w:p>
    <w:p w14:paraId="56EB2486">
      <w:pPr>
        <w:keepNext w:val="0"/>
        <w:pageBreakBefore w:val="0"/>
        <w:widowControl w:val="0"/>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第六条 甲乙双方及其人员在合同履行完毕后，发现在合同执行期间有违反本协议规定的行为，仍按本协议规定处理。</w:t>
      </w:r>
    </w:p>
    <w:p w14:paraId="1E31F42E">
      <w:pPr>
        <w:pStyle w:val="57"/>
        <w:widowControl/>
        <w:spacing w:beforeLines="0" w:line="300" w:lineRule="auto"/>
        <w:rPr>
          <w:rFonts w:hint="eastAsia"/>
          <w:color w:val="000000"/>
          <w:sz w:val="36"/>
          <w:szCs w:val="36"/>
        </w:rPr>
      </w:pPr>
    </w:p>
    <w:p w14:paraId="2952E5A5">
      <w:pPr>
        <w:pStyle w:val="57"/>
        <w:widowControl/>
        <w:spacing w:beforeLines="0" w:line="300" w:lineRule="auto"/>
        <w:rPr>
          <w:rFonts w:hint="eastAsia"/>
          <w:color w:val="000000"/>
          <w:sz w:val="36"/>
          <w:szCs w:val="36"/>
        </w:rPr>
      </w:pPr>
    </w:p>
    <w:p w14:paraId="0FE403BE">
      <w:pPr>
        <w:pStyle w:val="57"/>
        <w:widowControl/>
        <w:spacing w:beforeLines="0" w:line="300" w:lineRule="auto"/>
        <w:rPr>
          <w:rFonts w:hint="eastAsia"/>
          <w:color w:val="000000"/>
          <w:sz w:val="36"/>
          <w:szCs w:val="36"/>
        </w:rPr>
      </w:pPr>
    </w:p>
    <w:p w14:paraId="4B9F3E4D">
      <w:pPr>
        <w:pStyle w:val="57"/>
        <w:widowControl/>
        <w:spacing w:beforeLines="0" w:line="300" w:lineRule="auto"/>
        <w:rPr>
          <w:rFonts w:hint="eastAsia"/>
          <w:color w:val="000000"/>
          <w:sz w:val="36"/>
          <w:szCs w:val="36"/>
        </w:rPr>
      </w:pPr>
    </w:p>
    <w:p w14:paraId="5DBF1D71">
      <w:pPr>
        <w:pStyle w:val="57"/>
        <w:widowControl/>
        <w:spacing w:beforeLines="0" w:line="300" w:lineRule="auto"/>
        <w:rPr>
          <w:rFonts w:hint="eastAsia"/>
          <w:color w:val="000000"/>
          <w:sz w:val="36"/>
          <w:szCs w:val="36"/>
        </w:rPr>
      </w:pPr>
    </w:p>
    <w:p w14:paraId="079F1A6E">
      <w:pPr>
        <w:pStyle w:val="57"/>
        <w:widowControl/>
        <w:spacing w:beforeLines="0" w:line="300" w:lineRule="auto"/>
        <w:rPr>
          <w:rFonts w:hint="eastAsia"/>
          <w:color w:val="000000"/>
          <w:sz w:val="36"/>
          <w:szCs w:val="36"/>
        </w:rPr>
      </w:pPr>
    </w:p>
    <w:p w14:paraId="760B6287">
      <w:pPr>
        <w:pStyle w:val="57"/>
        <w:widowControl/>
        <w:spacing w:beforeLines="0" w:line="300" w:lineRule="auto"/>
        <w:jc w:val="both"/>
        <w:rPr>
          <w:rFonts w:hint="eastAsia"/>
          <w:color w:val="000000"/>
          <w:sz w:val="36"/>
          <w:szCs w:val="36"/>
        </w:rPr>
      </w:pPr>
    </w:p>
    <w:p w14:paraId="00BE725E">
      <w:pPr>
        <w:pStyle w:val="57"/>
        <w:widowControl/>
        <w:spacing w:beforeLines="0" w:line="300" w:lineRule="auto"/>
        <w:rPr>
          <w:rFonts w:hint="eastAsia"/>
          <w:color w:val="000000"/>
          <w:sz w:val="36"/>
          <w:szCs w:val="36"/>
        </w:rPr>
      </w:pPr>
    </w:p>
    <w:p w14:paraId="43A88F10">
      <w:pPr>
        <w:pStyle w:val="57"/>
        <w:widowControl/>
        <w:spacing w:beforeLines="0" w:line="300" w:lineRule="auto"/>
        <w:rPr>
          <w:rFonts w:hint="eastAsia"/>
          <w:color w:val="000000"/>
          <w:sz w:val="36"/>
          <w:szCs w:val="36"/>
        </w:rPr>
      </w:pPr>
    </w:p>
    <w:p w14:paraId="2C258E80">
      <w:pPr>
        <w:pStyle w:val="57"/>
        <w:widowControl/>
        <w:spacing w:beforeLines="0" w:line="300" w:lineRule="auto"/>
        <w:rPr>
          <w:color w:val="000000"/>
          <w:sz w:val="36"/>
          <w:szCs w:val="36"/>
        </w:rPr>
      </w:pPr>
      <w:bookmarkStart w:id="156" w:name="_Toc10782_WPSOffice_Level1"/>
      <w:bookmarkStart w:id="157" w:name="_Toc1571_WPSOffice_Level1"/>
      <w:r>
        <w:rPr>
          <w:rFonts w:hint="eastAsia"/>
          <w:color w:val="000000"/>
          <w:sz w:val="36"/>
          <w:szCs w:val="36"/>
        </w:rPr>
        <w:t>第</w:t>
      </w:r>
      <w:r>
        <w:rPr>
          <w:rFonts w:hint="eastAsia"/>
          <w:color w:val="000000"/>
          <w:sz w:val="36"/>
          <w:szCs w:val="36"/>
          <w:lang w:val="en-US" w:eastAsia="zh-CN"/>
        </w:rPr>
        <w:t>六</w:t>
      </w:r>
      <w:r>
        <w:rPr>
          <w:rFonts w:hint="eastAsia"/>
          <w:color w:val="000000"/>
          <w:sz w:val="36"/>
          <w:szCs w:val="36"/>
        </w:rPr>
        <w:t>章</w:t>
      </w:r>
      <w:r>
        <w:rPr>
          <w:color w:val="000000"/>
          <w:sz w:val="36"/>
          <w:szCs w:val="36"/>
        </w:rPr>
        <w:t xml:space="preserve"> </w:t>
      </w:r>
      <w:r>
        <w:rPr>
          <w:rFonts w:hint="eastAsia"/>
          <w:color w:val="000000"/>
          <w:sz w:val="36"/>
          <w:szCs w:val="36"/>
        </w:rPr>
        <w:t>投标文件格式及内容</w:t>
      </w:r>
      <w:bookmarkEnd w:id="156"/>
      <w:bookmarkEnd w:id="157"/>
    </w:p>
    <w:p w14:paraId="59271DC9">
      <w:pPr>
        <w:autoSpaceDE w:val="0"/>
        <w:autoSpaceDN w:val="0"/>
        <w:adjustRightInd w:val="0"/>
        <w:spacing w:line="300" w:lineRule="auto"/>
        <w:ind w:firstLine="3360" w:firstLineChars="1400"/>
        <w:rPr>
          <w:rFonts w:ascii="Times New Roman" w:hAnsi="Times New Roman" w:eastAsia="黑体"/>
          <w:color w:val="000000"/>
          <w:shd w:val="clear" w:color="auto" w:fill="FFFFFF"/>
        </w:rPr>
      </w:pPr>
    </w:p>
    <w:p w14:paraId="0DCFAD0B">
      <w:pPr>
        <w:autoSpaceDE w:val="0"/>
        <w:autoSpaceDN w:val="0"/>
        <w:adjustRightInd w:val="0"/>
        <w:spacing w:line="300" w:lineRule="auto"/>
        <w:ind w:firstLine="6160" w:firstLineChars="1400"/>
        <w:jc w:val="right"/>
        <w:rPr>
          <w:rFonts w:ascii="Times New Roman" w:hAnsi="Times New Roman" w:eastAsia="黑体"/>
          <w:color w:val="000000"/>
          <w:sz w:val="44"/>
          <w:szCs w:val="44"/>
        </w:rPr>
      </w:pPr>
      <w:bookmarkStart w:id="158" w:name="_Toc27235_WPSOffice_Level1"/>
      <w:bookmarkStart w:id="159" w:name="_Toc9011_WPSOffice_Level1"/>
      <w:bookmarkStart w:id="160" w:name="_Toc10654_WPSOffice_Level1"/>
      <w:r>
        <w:rPr>
          <w:rFonts w:hint="eastAsia" w:ascii="Times New Roman" w:hAnsi="Times New Roman" w:eastAsia="黑体"/>
          <w:color w:val="000000"/>
          <w:sz w:val="44"/>
          <w:szCs w:val="44"/>
          <w:bdr w:val="single" w:color="auto" w:sz="4" w:space="0"/>
        </w:rPr>
        <w:t>正本</w:t>
      </w:r>
      <w:r>
        <w:rPr>
          <w:rFonts w:ascii="Times New Roman" w:hAnsi="Times New Roman" w:eastAsia="黑体"/>
          <w:color w:val="000000"/>
          <w:sz w:val="44"/>
          <w:szCs w:val="44"/>
          <w:bdr w:val="single" w:color="auto" w:sz="4" w:space="0"/>
        </w:rPr>
        <w:t>/</w:t>
      </w:r>
      <w:r>
        <w:rPr>
          <w:rFonts w:hint="eastAsia" w:ascii="Times New Roman" w:hAnsi="Times New Roman" w:eastAsia="黑体"/>
          <w:color w:val="000000"/>
          <w:sz w:val="44"/>
          <w:szCs w:val="44"/>
          <w:bdr w:val="single" w:color="auto" w:sz="4" w:space="0"/>
        </w:rPr>
        <w:t>副本</w:t>
      </w:r>
      <w:bookmarkEnd w:id="158"/>
      <w:bookmarkEnd w:id="159"/>
      <w:bookmarkEnd w:id="160"/>
    </w:p>
    <w:p w14:paraId="1247B35F">
      <w:pPr>
        <w:spacing w:line="300" w:lineRule="auto"/>
        <w:rPr>
          <w:rFonts w:ascii="Times New Roman" w:hAnsi="Times New Roman"/>
          <w:color w:val="000000"/>
          <w:szCs w:val="21"/>
        </w:rPr>
      </w:pPr>
    </w:p>
    <w:p w14:paraId="7C57FB83">
      <w:pPr>
        <w:spacing w:line="300" w:lineRule="auto"/>
        <w:jc w:val="center"/>
        <w:rPr>
          <w:rFonts w:ascii="Times New Roman" w:hAnsi="Times New Roman" w:eastAsia="黑体"/>
          <w:color w:val="000000"/>
          <w:sz w:val="36"/>
          <w:szCs w:val="36"/>
        </w:rPr>
      </w:pPr>
      <w:r>
        <w:rPr>
          <w:rFonts w:ascii="Times New Roman" w:hAnsi="Times New Roman" w:eastAsia="黑体"/>
          <w:color w:val="000000"/>
          <w:sz w:val="36"/>
          <w:szCs w:val="36"/>
          <w:u w:val="single"/>
        </w:rPr>
        <w:t xml:space="preserve">                      </w:t>
      </w:r>
      <w:bookmarkStart w:id="161" w:name="_Toc28215_WPSOffice_Level1"/>
      <w:bookmarkStart w:id="162" w:name="_Toc23147_WPSOffice_Level1"/>
      <w:bookmarkStart w:id="163" w:name="_Toc24720_WPSOffice_Level1"/>
      <w:r>
        <w:rPr>
          <w:rFonts w:hint="eastAsia" w:ascii="Times New Roman" w:hAnsi="Times New Roman" w:eastAsia="黑体"/>
          <w:color w:val="000000"/>
          <w:sz w:val="36"/>
          <w:szCs w:val="36"/>
        </w:rPr>
        <w:t>（项目名称）</w:t>
      </w:r>
      <w:bookmarkEnd w:id="161"/>
      <w:bookmarkEnd w:id="162"/>
      <w:bookmarkEnd w:id="163"/>
    </w:p>
    <w:p w14:paraId="624E039C">
      <w:pPr>
        <w:spacing w:line="300" w:lineRule="auto"/>
        <w:rPr>
          <w:rFonts w:ascii="Times New Roman" w:hAnsi="Times New Roman"/>
          <w:b/>
          <w:color w:val="000000"/>
          <w:szCs w:val="21"/>
        </w:rPr>
      </w:pPr>
    </w:p>
    <w:p w14:paraId="6828F60A">
      <w:pPr>
        <w:spacing w:line="300" w:lineRule="auto"/>
        <w:jc w:val="center"/>
        <w:rPr>
          <w:rFonts w:ascii="Times New Roman" w:hAnsi="Times New Roman"/>
          <w:b/>
          <w:color w:val="000000"/>
          <w:szCs w:val="21"/>
        </w:rPr>
      </w:pPr>
    </w:p>
    <w:p w14:paraId="004CD21E">
      <w:pPr>
        <w:spacing w:line="300" w:lineRule="auto"/>
        <w:rPr>
          <w:rFonts w:ascii="Times New Roman" w:hAnsi="Times New Roman"/>
          <w:b/>
          <w:color w:val="000000"/>
          <w:szCs w:val="21"/>
        </w:rPr>
      </w:pPr>
    </w:p>
    <w:p w14:paraId="1402952E">
      <w:pPr>
        <w:spacing w:line="300" w:lineRule="auto"/>
        <w:rPr>
          <w:rFonts w:ascii="Times New Roman" w:hAnsi="Times New Roman"/>
          <w:b/>
          <w:color w:val="000000"/>
          <w:szCs w:val="21"/>
        </w:rPr>
      </w:pPr>
    </w:p>
    <w:p w14:paraId="2EA7C20E">
      <w:pPr>
        <w:spacing w:line="300" w:lineRule="auto"/>
        <w:rPr>
          <w:rFonts w:ascii="Times New Roman" w:hAnsi="Times New Roman"/>
          <w:b/>
          <w:color w:val="000000"/>
          <w:szCs w:val="21"/>
        </w:rPr>
      </w:pPr>
    </w:p>
    <w:p w14:paraId="04F7B1C1">
      <w:pPr>
        <w:spacing w:line="300" w:lineRule="auto"/>
        <w:rPr>
          <w:rFonts w:ascii="Times New Roman" w:hAnsi="Times New Roman"/>
          <w:b/>
          <w:color w:val="000000"/>
          <w:szCs w:val="21"/>
        </w:rPr>
      </w:pPr>
    </w:p>
    <w:p w14:paraId="256C3385">
      <w:pPr>
        <w:spacing w:line="300" w:lineRule="auto"/>
        <w:jc w:val="center"/>
        <w:rPr>
          <w:rFonts w:ascii="Times New Roman" w:hAnsi="Times New Roman" w:eastAsia="黑体"/>
          <w:color w:val="000000"/>
          <w:sz w:val="36"/>
          <w:szCs w:val="36"/>
        </w:rPr>
      </w:pPr>
      <w:bookmarkStart w:id="164" w:name="_Toc6615_WPSOffice_Level1"/>
      <w:bookmarkStart w:id="165" w:name="_Toc7890_WPSOffice_Level1"/>
      <w:bookmarkStart w:id="166" w:name="_Toc6765_WPSOffice_Level1"/>
      <w:r>
        <w:rPr>
          <w:rFonts w:hint="eastAsia" w:ascii="Times New Roman" w:hAnsi="Times New Roman" w:eastAsia="黑体"/>
          <w:color w:val="000000"/>
          <w:sz w:val="36"/>
          <w:szCs w:val="36"/>
        </w:rPr>
        <w:t>投标文件</w:t>
      </w:r>
      <w:bookmarkEnd w:id="164"/>
      <w:bookmarkEnd w:id="165"/>
      <w:bookmarkEnd w:id="166"/>
    </w:p>
    <w:p w14:paraId="45898F35">
      <w:pPr>
        <w:spacing w:line="300" w:lineRule="auto"/>
        <w:rPr>
          <w:rFonts w:ascii="Times New Roman" w:hAnsi="Times New Roman"/>
          <w:b/>
          <w:color w:val="000000"/>
          <w:szCs w:val="21"/>
        </w:rPr>
      </w:pPr>
    </w:p>
    <w:p w14:paraId="0F3DAD9F">
      <w:pPr>
        <w:spacing w:line="300" w:lineRule="auto"/>
        <w:rPr>
          <w:rFonts w:ascii="Times New Roman" w:hAnsi="Times New Roman"/>
          <w:color w:val="000000"/>
          <w:szCs w:val="21"/>
        </w:rPr>
      </w:pPr>
    </w:p>
    <w:p w14:paraId="3E9DC1AC">
      <w:pPr>
        <w:spacing w:line="300" w:lineRule="auto"/>
        <w:rPr>
          <w:rFonts w:ascii="Times New Roman" w:hAnsi="Times New Roman"/>
          <w:color w:val="000000"/>
          <w:szCs w:val="21"/>
        </w:rPr>
      </w:pPr>
    </w:p>
    <w:p w14:paraId="31B5A453">
      <w:pPr>
        <w:spacing w:line="300" w:lineRule="auto"/>
        <w:rPr>
          <w:rFonts w:ascii="Times New Roman" w:hAnsi="Times New Roman"/>
          <w:color w:val="000000"/>
          <w:szCs w:val="21"/>
        </w:rPr>
      </w:pPr>
    </w:p>
    <w:p w14:paraId="1454B222">
      <w:pPr>
        <w:spacing w:line="300" w:lineRule="auto"/>
        <w:rPr>
          <w:rFonts w:ascii="Times New Roman" w:hAnsi="Times New Roman"/>
          <w:color w:val="000000"/>
          <w:szCs w:val="21"/>
        </w:rPr>
      </w:pPr>
    </w:p>
    <w:p w14:paraId="239960B3">
      <w:pPr>
        <w:spacing w:line="300" w:lineRule="auto"/>
        <w:rPr>
          <w:rFonts w:ascii="Times New Roman" w:hAnsi="Times New Roman"/>
          <w:color w:val="000000"/>
          <w:szCs w:val="21"/>
        </w:rPr>
      </w:pPr>
    </w:p>
    <w:p w14:paraId="517E9538">
      <w:pPr>
        <w:spacing w:line="300" w:lineRule="auto"/>
        <w:rPr>
          <w:rFonts w:ascii="Times New Roman" w:hAnsi="Times New Roman"/>
          <w:color w:val="000000"/>
          <w:szCs w:val="21"/>
        </w:rPr>
      </w:pPr>
    </w:p>
    <w:p w14:paraId="1DD3AE1D">
      <w:pPr>
        <w:spacing w:line="300" w:lineRule="auto"/>
        <w:rPr>
          <w:rFonts w:ascii="Times New Roman" w:hAnsi="Times New Roman"/>
          <w:color w:val="000000"/>
          <w:szCs w:val="21"/>
        </w:rPr>
      </w:pPr>
    </w:p>
    <w:p w14:paraId="19A052E6">
      <w:pPr>
        <w:spacing w:line="300" w:lineRule="auto"/>
        <w:ind w:firstLine="140" w:firstLineChars="50"/>
        <w:rPr>
          <w:rFonts w:ascii="Times New Roman" w:hAnsi="Times New Roman" w:eastAsia="黑体"/>
          <w:color w:val="000000"/>
          <w:sz w:val="28"/>
          <w:szCs w:val="28"/>
          <w:u w:val="single"/>
        </w:rPr>
      </w:pPr>
      <w:r>
        <w:rPr>
          <w:rFonts w:hint="eastAsia" w:ascii="Times New Roman" w:hAnsi="Times New Roman" w:eastAsia="黑体"/>
          <w:color w:val="000000"/>
          <w:sz w:val="28"/>
          <w:szCs w:val="28"/>
        </w:rPr>
        <w:t>投标人：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（盖单位公章）</w:t>
      </w:r>
    </w:p>
    <w:p w14:paraId="6AFC310A">
      <w:pPr>
        <w:spacing w:line="300" w:lineRule="auto"/>
        <w:jc w:val="center"/>
        <w:rPr>
          <w:rFonts w:ascii="Times New Roman" w:hAnsi="Times New Roman" w:eastAsia="黑体"/>
          <w:color w:val="000000"/>
          <w:sz w:val="28"/>
          <w:szCs w:val="28"/>
        </w:rPr>
      </w:pPr>
      <w:bookmarkStart w:id="167" w:name="_Toc27359_WPSOffice_Level1"/>
      <w:bookmarkStart w:id="168" w:name="_Toc14022_WPSOffice_Level1"/>
      <w:bookmarkStart w:id="169" w:name="_Toc31414_WPSOffice_Level1"/>
      <w:r>
        <w:rPr>
          <w:rFonts w:hint="eastAsia" w:ascii="Times New Roman" w:hAnsi="Times New Roman" w:eastAsia="黑体"/>
          <w:color w:val="000000"/>
          <w:sz w:val="28"/>
          <w:szCs w:val="28"/>
        </w:rPr>
        <w:t>法定代表人或其委托代理人：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（签字或盖章）</w:t>
      </w:r>
      <w:bookmarkEnd w:id="167"/>
      <w:bookmarkEnd w:id="168"/>
      <w:bookmarkEnd w:id="169"/>
    </w:p>
    <w:p w14:paraId="1C796C53">
      <w:pPr>
        <w:spacing w:line="300" w:lineRule="auto"/>
        <w:jc w:val="center"/>
        <w:rPr>
          <w:rFonts w:ascii="Times New Roman" w:hAnsi="Times New Roman" w:eastAsia="黑体"/>
          <w:color w:val="000000"/>
          <w:sz w:val="28"/>
          <w:szCs w:val="28"/>
          <w:u w:val="single"/>
        </w:rPr>
      </w:pPr>
    </w:p>
    <w:p w14:paraId="3480D243">
      <w:pPr>
        <w:spacing w:line="300" w:lineRule="auto"/>
        <w:jc w:val="center"/>
        <w:rPr>
          <w:rFonts w:ascii="Times New Roman" w:hAnsi="Times New Roman" w:eastAsia="黑体"/>
          <w:color w:val="000000"/>
          <w:sz w:val="28"/>
          <w:szCs w:val="28"/>
        </w:rPr>
        <w:sectPr>
          <w:footerReference r:id="rId6" w:type="default"/>
          <w:footerReference r:id="rId7" w:type="even"/>
          <w:pgSz w:w="11906" w:h="16838"/>
          <w:pgMar w:top="1418" w:right="1644" w:bottom="1247" w:left="1644" w:header="851" w:footer="992" w:gutter="0"/>
          <w:cols w:space="720" w:num="1"/>
          <w:docGrid w:type="lines" w:linePitch="312" w:charSpace="0"/>
        </w:sectPr>
      </w:pPr>
      <w:r>
        <w:rPr>
          <w:rFonts w:ascii="Times New Roman" w:hAnsi="Times New Roman" w:eastAsia="黑体"/>
          <w:color w:val="000000"/>
          <w:sz w:val="28"/>
          <w:szCs w:val="28"/>
          <w:u w:val="single"/>
        </w:rPr>
        <w:t xml:space="preserve">      </w:t>
      </w:r>
      <w:bookmarkStart w:id="170" w:name="_Toc26258_WPSOffice_Level1"/>
      <w:bookmarkStart w:id="171" w:name="_Toc31650_WPSOffice_Level1"/>
      <w:bookmarkStart w:id="172" w:name="_Toc30171_WPSOffice_Level1"/>
      <w:r>
        <w:rPr>
          <w:rFonts w:hint="eastAsia" w:ascii="Times New Roman" w:hAnsi="Times New Roman" w:eastAsia="黑体"/>
          <w:color w:val="000000"/>
          <w:sz w:val="28"/>
          <w:szCs w:val="28"/>
        </w:rPr>
        <w:t>年</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ascii="Times New Roman" w:hAnsi="Times New Roman" w:eastAsia="黑体"/>
          <w:color w:val="000000"/>
          <w:sz w:val="28"/>
          <w:szCs w:val="28"/>
        </w:rPr>
        <w:t xml:space="preserve"> </w:t>
      </w:r>
      <w:r>
        <w:rPr>
          <w:rFonts w:hint="eastAsia" w:ascii="Times New Roman" w:hAnsi="Times New Roman" w:eastAsia="黑体"/>
          <w:color w:val="000000"/>
          <w:sz w:val="28"/>
          <w:szCs w:val="28"/>
        </w:rPr>
        <w:t>月</w:t>
      </w:r>
      <w:bookmarkEnd w:id="170"/>
      <w:bookmarkEnd w:id="171"/>
      <w:bookmarkEnd w:id="172"/>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p>
    <w:p w14:paraId="31FA317D">
      <w:pPr>
        <w:pStyle w:val="3"/>
        <w:spacing w:before="0" w:after="0" w:line="300" w:lineRule="auto"/>
        <w:jc w:val="center"/>
        <w:rPr>
          <w:rFonts w:ascii="Times New Roman" w:hAnsi="Times New Roman"/>
          <w:color w:val="000000"/>
        </w:rPr>
      </w:pPr>
      <w:r>
        <w:rPr>
          <w:rFonts w:hint="eastAsia" w:ascii="Times New Roman" w:hAnsi="Times New Roman"/>
          <w:color w:val="000000"/>
        </w:rPr>
        <w:t>目</w:t>
      </w:r>
      <w:r>
        <w:rPr>
          <w:rFonts w:ascii="Times New Roman" w:hAnsi="Times New Roman"/>
          <w:color w:val="000000"/>
        </w:rPr>
        <w:t xml:space="preserve">    </w:t>
      </w:r>
      <w:r>
        <w:rPr>
          <w:rFonts w:hint="eastAsia" w:ascii="Times New Roman" w:hAnsi="Times New Roman"/>
          <w:color w:val="000000"/>
        </w:rPr>
        <w:t>录</w:t>
      </w:r>
    </w:p>
    <w:p w14:paraId="6B1D2DD0">
      <w:pPr>
        <w:spacing w:line="300" w:lineRule="auto"/>
        <w:rPr>
          <w:rFonts w:ascii="Times New Roman" w:hAnsi="Times New Roman"/>
          <w:color w:val="000000"/>
        </w:rPr>
      </w:pPr>
    </w:p>
    <w:p w14:paraId="2164B745">
      <w:pPr>
        <w:spacing w:line="360" w:lineRule="auto"/>
        <w:ind w:firstLine="480" w:firstLineChars="200"/>
        <w:rPr>
          <w:rFonts w:hint="eastAsia" w:cs="仿宋"/>
        </w:rPr>
      </w:pPr>
      <w:r>
        <w:rPr>
          <w:rFonts w:hint="eastAsia" w:cs="仿宋"/>
        </w:rPr>
        <w:t>1、投标函</w:t>
      </w:r>
    </w:p>
    <w:p w14:paraId="3920ECE9">
      <w:pPr>
        <w:pStyle w:val="45"/>
        <w:ind w:left="0" w:leftChars="0" w:firstLine="0" w:firstLineChars="0"/>
      </w:pPr>
      <w:r>
        <w:rPr>
          <w:rFonts w:hint="eastAsia"/>
        </w:rPr>
        <w:t xml:space="preserve">    2、法定代表人身份证明</w:t>
      </w:r>
    </w:p>
    <w:p w14:paraId="1CABD07F">
      <w:pPr>
        <w:spacing w:line="360" w:lineRule="auto"/>
        <w:ind w:firstLine="480" w:firstLineChars="200"/>
        <w:rPr>
          <w:rFonts w:cs="仿宋"/>
        </w:rPr>
      </w:pPr>
      <w:r>
        <w:rPr>
          <w:rFonts w:hint="eastAsia" w:cs="仿宋"/>
        </w:rPr>
        <w:t>3、授权委托书</w:t>
      </w:r>
    </w:p>
    <w:p w14:paraId="544D3FE9">
      <w:pPr>
        <w:spacing w:line="360" w:lineRule="auto"/>
        <w:ind w:firstLine="480" w:firstLineChars="200"/>
        <w:rPr>
          <w:rFonts w:cs="仿宋"/>
        </w:rPr>
      </w:pPr>
      <w:r>
        <w:rPr>
          <w:rFonts w:hint="eastAsia" w:cs="仿宋"/>
        </w:rPr>
        <w:t>4、投标保证金</w:t>
      </w:r>
    </w:p>
    <w:p w14:paraId="24B69773">
      <w:pPr>
        <w:spacing w:line="360" w:lineRule="auto"/>
        <w:ind w:firstLine="480" w:firstLineChars="200"/>
        <w:rPr>
          <w:rFonts w:cs="仿宋"/>
        </w:rPr>
      </w:pPr>
      <w:r>
        <w:rPr>
          <w:rFonts w:hint="eastAsia" w:cs="仿宋"/>
        </w:rPr>
        <w:t>5、资格审查资料</w:t>
      </w:r>
    </w:p>
    <w:p w14:paraId="09562EDD">
      <w:pPr>
        <w:spacing w:line="360" w:lineRule="auto"/>
        <w:ind w:firstLine="480" w:firstLineChars="200"/>
        <w:rPr>
          <w:rFonts w:cs="仿宋"/>
        </w:rPr>
      </w:pPr>
      <w:r>
        <w:rPr>
          <w:rFonts w:hint="eastAsia" w:cs="仿宋"/>
        </w:rPr>
        <w:t>6、报价表</w:t>
      </w:r>
    </w:p>
    <w:p w14:paraId="61DBEC24">
      <w:pPr>
        <w:spacing w:line="360" w:lineRule="auto"/>
        <w:ind w:firstLine="480" w:firstLineChars="200"/>
        <w:rPr>
          <w:rFonts w:cs="仿宋"/>
        </w:rPr>
      </w:pPr>
      <w:r>
        <w:rPr>
          <w:rFonts w:hint="eastAsia" w:cs="仿宋"/>
        </w:rPr>
        <w:t>7、商务或技术偏差表</w:t>
      </w:r>
    </w:p>
    <w:p w14:paraId="2342D010">
      <w:pPr>
        <w:spacing w:line="360" w:lineRule="auto"/>
        <w:ind w:firstLine="480" w:firstLineChars="200"/>
        <w:rPr>
          <w:rFonts w:cs="仿宋"/>
        </w:rPr>
      </w:pPr>
      <w:r>
        <w:rPr>
          <w:rFonts w:hint="eastAsia" w:cs="仿宋"/>
        </w:rPr>
        <w:t>8、投标人认为应补充的其它资料</w:t>
      </w:r>
    </w:p>
    <w:p w14:paraId="3F70247F">
      <w:pPr>
        <w:jc w:val="center"/>
        <w:rPr>
          <w:rFonts w:ascii="Times New Roman" w:hAnsi="Times New Roman"/>
          <w:b/>
          <w:color w:val="000000"/>
        </w:rPr>
      </w:pPr>
      <w:r>
        <w:rPr>
          <w:rFonts w:ascii="Times New Roman" w:hAnsi="Times New Roman"/>
          <w:b/>
          <w:color w:val="000000"/>
        </w:rPr>
        <w:br w:type="page"/>
      </w:r>
    </w:p>
    <w:p w14:paraId="09F06C96">
      <w:pPr>
        <w:pStyle w:val="4"/>
        <w:spacing w:before="0" w:after="0" w:line="300" w:lineRule="auto"/>
        <w:jc w:val="left"/>
        <w:rPr>
          <w:b w:val="0"/>
          <w:bCs w:val="0"/>
          <w:color w:val="000000"/>
          <w:sz w:val="24"/>
          <w:szCs w:val="24"/>
        </w:rPr>
      </w:pPr>
      <w:bookmarkStart w:id="173" w:name="_Toc4141_WPSOffice_Level1"/>
      <w:bookmarkStart w:id="174" w:name="_Toc15065_WPSOffice_Level1"/>
      <w:r>
        <w:rPr>
          <w:rFonts w:hint="eastAsia"/>
          <w:b w:val="0"/>
          <w:bCs w:val="0"/>
          <w:color w:val="000000"/>
          <w:sz w:val="24"/>
          <w:szCs w:val="24"/>
        </w:rPr>
        <w:t>1、投标函</w:t>
      </w:r>
      <w:bookmarkEnd w:id="173"/>
      <w:bookmarkEnd w:id="174"/>
    </w:p>
    <w:p w14:paraId="42546D05">
      <w:pPr>
        <w:spacing w:line="300" w:lineRule="auto"/>
        <w:rPr>
          <w:rFonts w:ascii="Times New Roman" w:hAnsi="Times New Roman"/>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（招标人名称）：</w:t>
      </w:r>
    </w:p>
    <w:p w14:paraId="40B145AE">
      <w:pPr>
        <w:spacing w:line="300" w:lineRule="auto"/>
        <w:ind w:firstLine="480" w:firstLineChars="200"/>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．我方已仔细研究了</w:t>
      </w:r>
      <w:r>
        <w:rPr>
          <w:rFonts w:ascii="Times New Roman" w:hAnsi="Times New Roman"/>
          <w:color w:val="000000"/>
          <w:szCs w:val="21"/>
          <w:u w:val="single"/>
        </w:rPr>
        <w:t xml:space="preserve">          </w:t>
      </w:r>
      <w:r>
        <w:rPr>
          <w:rFonts w:hint="eastAsia" w:ascii="Times New Roman" w:hAnsi="Times New Roman"/>
          <w:color w:val="000000"/>
          <w:szCs w:val="21"/>
        </w:rPr>
        <w:t>（项目名称）招标文件的全部内容，愿意以人民币（大写）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r>
        <w:rPr>
          <w:rFonts w:hint="eastAsia" w:ascii="Times New Roman" w:hAnsi="Times New Roman"/>
          <w:color w:val="000000"/>
          <w:szCs w:val="21"/>
          <w:lang w:val="en-US" w:eastAsia="zh-CN"/>
        </w:rPr>
        <w:t>含</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Cs w:val="21"/>
          <w:u w:val="none"/>
          <w:lang w:val="en-US" w:eastAsia="zh-CN"/>
        </w:rPr>
        <w:t>%增值税</w:t>
      </w:r>
      <w:r>
        <w:rPr>
          <w:rFonts w:hint="eastAsia" w:ascii="Times New Roman" w:hAnsi="Times New Roman"/>
          <w:color w:val="000000"/>
          <w:szCs w:val="21"/>
        </w:rPr>
        <w:t>的总报价，</w:t>
      </w:r>
      <w:r>
        <w:rPr>
          <w:rFonts w:hint="eastAsia" w:ascii="Times New Roman" w:hAnsi="Times New Roman"/>
          <w:color w:val="000000"/>
          <w:szCs w:val="21"/>
          <w:lang w:val="en-US" w:eastAsia="zh-CN"/>
        </w:rPr>
        <w:t>单次维修保养</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Cs w:val="21"/>
          <w:u w:val="none"/>
          <w:lang w:val="en-US" w:eastAsia="zh-CN"/>
        </w:rPr>
        <w:t>日历天，</w:t>
      </w:r>
      <w:r>
        <w:rPr>
          <w:rFonts w:hint="eastAsia" w:ascii="Times New Roman" w:hAnsi="Times New Roman"/>
          <w:color w:val="000000"/>
          <w:szCs w:val="21"/>
        </w:rPr>
        <w:t>按合同约定</w:t>
      </w:r>
      <w:r>
        <w:rPr>
          <w:rFonts w:hint="eastAsia"/>
        </w:rPr>
        <w:t>履行所有义务</w:t>
      </w:r>
      <w:r>
        <w:rPr>
          <w:rFonts w:hint="eastAsia" w:ascii="Times New Roman" w:hAnsi="Times New Roman"/>
          <w:color w:val="000000"/>
          <w:szCs w:val="21"/>
        </w:rPr>
        <w:t>。</w:t>
      </w:r>
    </w:p>
    <w:p w14:paraId="22340834">
      <w:pPr>
        <w:spacing w:line="300" w:lineRule="auto"/>
        <w:ind w:firstLine="480" w:firstLineChars="200"/>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．我方承诺在招标文件规定的招标有效期内不修改、撤销投标文件。</w:t>
      </w:r>
    </w:p>
    <w:p w14:paraId="5435411E">
      <w:pPr>
        <w:spacing w:line="300" w:lineRule="auto"/>
        <w:ind w:firstLine="480" w:firstLineChars="200"/>
        <w:rPr>
          <w:rFonts w:hint="default" w:ascii="Times New Roman" w:hAnsi="Times New Roman" w:eastAsia="宋体"/>
          <w:color w:val="000000"/>
          <w:szCs w:val="21"/>
          <w:lang w:val="en-US" w:eastAsia="zh-CN"/>
        </w:rPr>
      </w:pPr>
      <w:r>
        <w:rPr>
          <w:rFonts w:ascii="Times New Roman" w:hAnsi="Times New Roman"/>
          <w:color w:val="000000"/>
          <w:szCs w:val="21"/>
        </w:rPr>
        <w:t>3</w:t>
      </w:r>
      <w:r>
        <w:rPr>
          <w:rFonts w:hint="eastAsia" w:ascii="Times New Roman" w:hAnsi="Times New Roman"/>
          <w:color w:val="000000"/>
          <w:szCs w:val="21"/>
        </w:rPr>
        <w:t>．随同本报价函提交投标保证金一份，金额为人民币（大写）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p>
    <w:p w14:paraId="57812DF8">
      <w:pPr>
        <w:spacing w:line="300" w:lineRule="auto"/>
        <w:ind w:firstLine="480" w:firstLineChars="200"/>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．如我方中标：</w:t>
      </w:r>
    </w:p>
    <w:p w14:paraId="06D45E88">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）我方承诺在收到中标通知书后，在中标通知书规定的期限内与你方签订合同。</w:t>
      </w:r>
    </w:p>
    <w:p w14:paraId="706B24A7">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w:t>
      </w:r>
      <w:r>
        <w:rPr>
          <w:rFonts w:hint="eastAsia" w:ascii="Times New Roman" w:hAnsi="Times New Roman"/>
          <w:color w:val="000000"/>
          <w:szCs w:val="21"/>
        </w:rPr>
        <w:t>）随同本报价函递交的报价函附录属于合同文件的组成部分。</w:t>
      </w:r>
    </w:p>
    <w:p w14:paraId="28F562CD">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3</w:t>
      </w:r>
      <w:r>
        <w:rPr>
          <w:rFonts w:hint="eastAsia" w:ascii="Times New Roman" w:hAnsi="Times New Roman"/>
          <w:color w:val="000000"/>
          <w:szCs w:val="21"/>
        </w:rPr>
        <w:t>）我方承诺按照招标文件规定向你方递交履约担保。</w:t>
      </w:r>
    </w:p>
    <w:p w14:paraId="7447DE71">
      <w:pPr>
        <w:spacing w:line="300" w:lineRule="auto"/>
        <w:ind w:firstLine="820"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4</w:t>
      </w:r>
      <w:r>
        <w:rPr>
          <w:rFonts w:hint="eastAsia" w:ascii="Times New Roman" w:hAnsi="Times New Roman"/>
          <w:color w:val="000000"/>
          <w:szCs w:val="21"/>
        </w:rPr>
        <w:t>）我方承诺在合同约定的期限交付货物。</w:t>
      </w:r>
    </w:p>
    <w:p w14:paraId="1FA71FE1">
      <w:pPr>
        <w:spacing w:line="300" w:lineRule="auto"/>
        <w:ind w:firstLine="480" w:firstLineChars="200"/>
        <w:rPr>
          <w:rFonts w:ascii="Times New Roman" w:hAnsi="Times New Roman"/>
          <w:color w:val="000000"/>
        </w:rPr>
      </w:pPr>
      <w:r>
        <w:rPr>
          <w:rFonts w:ascii="Times New Roman" w:hAnsi="Times New Roman"/>
          <w:color w:val="000000"/>
          <w:szCs w:val="21"/>
        </w:rPr>
        <w:t>5</w:t>
      </w:r>
      <w:r>
        <w:rPr>
          <w:rFonts w:hint="eastAsia" w:ascii="Times New Roman" w:hAnsi="Times New Roman"/>
          <w:color w:val="000000"/>
          <w:szCs w:val="21"/>
        </w:rPr>
        <w:t>．</w:t>
      </w:r>
      <w:r>
        <w:rPr>
          <w:rFonts w:hint="eastAsia" w:ascii="Times New Roman" w:hAnsi="Times New Roman"/>
          <w:color w:val="000000"/>
        </w:rPr>
        <w:t>我方在此声明，所递交的投标文件及有关资料内容完整、真实和准确。</w:t>
      </w:r>
    </w:p>
    <w:p w14:paraId="40C6AC80">
      <w:pPr>
        <w:spacing w:line="300" w:lineRule="auto"/>
        <w:ind w:firstLine="480" w:firstLineChars="200"/>
        <w:rPr>
          <w:rFonts w:ascii="Times New Roman" w:hAnsi="Times New Roman"/>
          <w:color w:val="000000"/>
          <w:szCs w:val="21"/>
        </w:rPr>
      </w:pPr>
      <w:r>
        <w:rPr>
          <w:rFonts w:ascii="Times New Roman" w:hAnsi="Times New Roman"/>
          <w:color w:val="000000"/>
        </w:rPr>
        <w:t>6.</w:t>
      </w:r>
      <w:r>
        <w:rPr>
          <w:rFonts w:ascii="Times New Roman" w:hAnsi="Times New Roman" w:eastAsia="仿宋_GB2312"/>
          <w:color w:val="000000"/>
          <w:sz w:val="28"/>
        </w:rPr>
        <w:t xml:space="preserve"> </w:t>
      </w:r>
      <w:r>
        <w:rPr>
          <w:rFonts w:hint="eastAsia" w:ascii="Times New Roman" w:hAnsi="Times New Roman"/>
          <w:color w:val="000000"/>
        </w:rPr>
        <w:t>我方承诺参加招标活动近三年内无违法犯罪及其它不良行为记录，如有经行政主管部门查实或通报的不良记录，我方放弃参加本次项目招标的权利，并无条件承担相应后果和损失。</w:t>
      </w:r>
    </w:p>
    <w:p w14:paraId="20104AEB">
      <w:pPr>
        <w:spacing w:line="300" w:lineRule="auto"/>
        <w:ind w:firstLine="480" w:firstLineChars="200"/>
        <w:rPr>
          <w:rFonts w:ascii="Times New Roman" w:hAnsi="Times New Roman"/>
          <w:color w:val="000000"/>
          <w:szCs w:val="21"/>
        </w:rPr>
      </w:pPr>
      <w:r>
        <w:rPr>
          <w:rFonts w:ascii="Times New Roman" w:hAnsi="Times New Roman"/>
          <w:color w:val="000000"/>
          <w:szCs w:val="21"/>
        </w:rPr>
        <w:t>7</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（其他补充说明）。</w:t>
      </w:r>
    </w:p>
    <w:p w14:paraId="32F2637F">
      <w:pPr>
        <w:spacing w:line="300" w:lineRule="auto"/>
        <w:rPr>
          <w:rFonts w:ascii="Times New Roman" w:hAnsi="Times New Roman"/>
          <w:color w:val="000000"/>
          <w:szCs w:val="21"/>
        </w:rPr>
      </w:pPr>
      <w:r>
        <w:rPr>
          <w:rFonts w:hint="eastAsia" w:ascii="Times New Roman" w:hAnsi="Times New Roman"/>
          <w:color w:val="000000"/>
          <w:szCs w:val="21"/>
        </w:rPr>
        <w:t>投标人：</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064E44FD">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12099BD1">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p>
    <w:p w14:paraId="082BC856">
      <w:pPr>
        <w:spacing w:line="300" w:lineRule="auto"/>
        <w:rPr>
          <w:rFonts w:ascii="Times New Roman" w:hAnsi="Times New Roman"/>
          <w:color w:val="000000"/>
          <w:szCs w:val="21"/>
        </w:rPr>
      </w:pPr>
      <w:r>
        <w:rPr>
          <w:rFonts w:hint="eastAsia" w:ascii="Times New Roman" w:hAnsi="Times New Roman"/>
          <w:color w:val="000000"/>
          <w:szCs w:val="21"/>
        </w:rPr>
        <w:t>地址：</w:t>
      </w:r>
      <w:r>
        <w:rPr>
          <w:rFonts w:ascii="Times New Roman" w:hAnsi="Times New Roman"/>
          <w:color w:val="000000"/>
          <w:szCs w:val="21"/>
          <w:u w:val="single"/>
        </w:rPr>
        <w:t xml:space="preserve">                                     </w:t>
      </w:r>
    </w:p>
    <w:p w14:paraId="172FB750">
      <w:pPr>
        <w:spacing w:line="300" w:lineRule="auto"/>
        <w:rPr>
          <w:rFonts w:ascii="Times New Roman" w:hAnsi="Times New Roman"/>
          <w:color w:val="000000"/>
          <w:szCs w:val="21"/>
        </w:rPr>
      </w:pPr>
      <w:r>
        <w:rPr>
          <w:rFonts w:hint="eastAsia" w:ascii="Times New Roman" w:hAnsi="Times New Roman"/>
          <w:color w:val="000000"/>
          <w:szCs w:val="21"/>
        </w:rPr>
        <w:t>网址：</w:t>
      </w:r>
      <w:r>
        <w:rPr>
          <w:rFonts w:ascii="Times New Roman" w:hAnsi="Times New Roman"/>
          <w:color w:val="000000"/>
          <w:szCs w:val="21"/>
          <w:u w:val="single"/>
        </w:rPr>
        <w:t xml:space="preserve">                                     </w:t>
      </w:r>
    </w:p>
    <w:p w14:paraId="4E8294EE">
      <w:pPr>
        <w:spacing w:line="300" w:lineRule="auto"/>
        <w:rPr>
          <w:rFonts w:ascii="Times New Roman" w:hAnsi="Times New Roman"/>
          <w:color w:val="000000"/>
          <w:szCs w:val="21"/>
        </w:rPr>
      </w:pPr>
      <w:r>
        <w:rPr>
          <w:rFonts w:hint="eastAsia" w:ascii="Times New Roman" w:hAnsi="Times New Roman"/>
          <w:color w:val="000000"/>
          <w:szCs w:val="21"/>
        </w:rPr>
        <w:t>电话：</w:t>
      </w:r>
      <w:r>
        <w:rPr>
          <w:rFonts w:ascii="Times New Roman" w:hAnsi="Times New Roman"/>
          <w:color w:val="000000"/>
          <w:szCs w:val="21"/>
          <w:u w:val="single"/>
        </w:rPr>
        <w:t xml:space="preserve">                                     </w:t>
      </w:r>
    </w:p>
    <w:p w14:paraId="46ECCEA8">
      <w:pPr>
        <w:spacing w:line="300" w:lineRule="auto"/>
        <w:rPr>
          <w:rFonts w:ascii="Times New Roman" w:hAnsi="Times New Roman"/>
          <w:color w:val="000000"/>
          <w:szCs w:val="21"/>
        </w:rPr>
      </w:pPr>
      <w:r>
        <w:rPr>
          <w:rFonts w:hint="eastAsia" w:ascii="Times New Roman" w:hAnsi="Times New Roman"/>
          <w:color w:val="000000"/>
          <w:szCs w:val="21"/>
        </w:rPr>
        <w:t>传真：</w:t>
      </w:r>
      <w:r>
        <w:rPr>
          <w:rFonts w:ascii="Times New Roman" w:hAnsi="Times New Roman"/>
          <w:color w:val="000000"/>
          <w:szCs w:val="21"/>
          <w:u w:val="single"/>
        </w:rPr>
        <w:t xml:space="preserve">                                     </w:t>
      </w:r>
    </w:p>
    <w:p w14:paraId="0C6BBEF3">
      <w:pPr>
        <w:spacing w:line="300" w:lineRule="auto"/>
        <w:rPr>
          <w:rFonts w:ascii="Times New Roman" w:hAnsi="Times New Roman"/>
          <w:color w:val="000000"/>
          <w:szCs w:val="21"/>
        </w:rPr>
      </w:pPr>
      <w:r>
        <w:rPr>
          <w:rFonts w:hint="eastAsia" w:ascii="Times New Roman" w:hAnsi="Times New Roman"/>
          <w:color w:val="000000"/>
          <w:szCs w:val="21"/>
        </w:rPr>
        <w:t>邮政编码：</w:t>
      </w:r>
      <w:r>
        <w:rPr>
          <w:rFonts w:ascii="Times New Roman" w:hAnsi="Times New Roman"/>
          <w:color w:val="000000"/>
          <w:szCs w:val="21"/>
          <w:u w:val="single"/>
        </w:rPr>
        <w:t xml:space="preserve">                                 </w:t>
      </w:r>
    </w:p>
    <w:p w14:paraId="6D707889">
      <w:pPr>
        <w:spacing w:line="300" w:lineRule="auto"/>
        <w:ind w:firstLine="120" w:firstLineChars="50"/>
        <w:jc w:val="right"/>
        <w:rPr>
          <w:rFonts w:ascii="Times New Roman" w:hAnsi="Times New Roman"/>
          <w:color w:val="000000"/>
          <w:szCs w:val="21"/>
          <w:u w:val="single"/>
        </w:rPr>
      </w:pPr>
    </w:p>
    <w:p w14:paraId="77959224">
      <w:pPr>
        <w:spacing w:line="300" w:lineRule="auto"/>
        <w:ind w:firstLine="120" w:firstLineChars="50"/>
        <w:jc w:val="right"/>
        <w:rPr>
          <w:rFonts w:ascii="Times New Roman" w:hAnsi="Times New Roman"/>
          <w:color w:val="000000"/>
          <w:szCs w:val="21"/>
        </w:rPr>
      </w:pPr>
      <w:r>
        <w:rPr>
          <w:rFonts w:hint="eastAsia" w:ascii="Times New Roman" w:hAnsi="Times New Roman"/>
          <w:color w:val="000000"/>
          <w:szCs w:val="21"/>
        </w:rPr>
        <w:t xml:space="preserve">               </w:t>
      </w:r>
      <w:r>
        <w:rPr>
          <w:rFonts w:hint="eastAsia"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03FA08DD">
      <w:pPr>
        <w:spacing w:line="300" w:lineRule="auto"/>
        <w:ind w:firstLine="5760" w:firstLineChars="2400"/>
        <w:rPr>
          <w:rFonts w:ascii="Times New Roman" w:hAnsi="Times New Roman"/>
          <w:color w:val="000000"/>
          <w:szCs w:val="21"/>
        </w:rPr>
      </w:pPr>
    </w:p>
    <w:p w14:paraId="39E9EF91">
      <w:pPr>
        <w:keepNext/>
        <w:keepLines/>
        <w:spacing w:before="240" w:beforeLines="100" w:after="120" w:line="520" w:lineRule="exact"/>
        <w:ind w:right="601"/>
        <w:outlineLvl w:val="1"/>
        <w:rPr>
          <w:rFonts w:cs="仿宋"/>
        </w:rPr>
      </w:pPr>
      <w:r>
        <w:rPr>
          <w:rFonts w:ascii="Times New Roman" w:hAnsi="Times New Roman" w:eastAsia="黑体"/>
          <w:color w:val="000000"/>
          <w:sz w:val="20"/>
        </w:rPr>
        <w:br w:type="page"/>
      </w:r>
      <w:bookmarkStart w:id="175" w:name="_Toc31858_WPSOffice_Level1"/>
      <w:bookmarkStart w:id="176" w:name="_Toc13673_WPSOffice_Level1"/>
      <w:r>
        <w:rPr>
          <w:rFonts w:hint="eastAsia" w:cs="仿宋"/>
        </w:rPr>
        <w:t>2、</w:t>
      </w:r>
      <w:r>
        <w:rPr>
          <w:rFonts w:hint="eastAsia" w:cs="仿宋"/>
          <w:lang w:val="zh-TW" w:eastAsia="zh-TW"/>
        </w:rPr>
        <w:t>法定代表人身份证明</w:t>
      </w:r>
      <w:bookmarkEnd w:id="175"/>
      <w:bookmarkEnd w:id="176"/>
    </w:p>
    <w:p w14:paraId="368CB7EA">
      <w:pPr>
        <w:pStyle w:val="3"/>
        <w:spacing w:before="0" w:after="0" w:line="300" w:lineRule="auto"/>
        <w:jc w:val="center"/>
        <w:rPr>
          <w:rFonts w:hint="eastAsia" w:ascii="Times New Roman" w:hAnsi="Times New Roman"/>
          <w:b w:val="0"/>
          <w:bCs w:val="0"/>
          <w:color w:val="000000"/>
          <w:lang w:val="zh-TW" w:eastAsia="zh-TW"/>
        </w:rPr>
      </w:pPr>
      <w:r>
        <w:rPr>
          <w:rFonts w:hint="eastAsia" w:ascii="Times New Roman" w:hAnsi="Times New Roman"/>
          <w:b w:val="0"/>
          <w:bCs w:val="0"/>
          <w:color w:val="000000"/>
          <w:lang w:val="zh-TW" w:eastAsia="zh-TW"/>
        </w:rPr>
        <w:t>法定代表人身份证明(适用于法定代表人投标时)</w:t>
      </w:r>
    </w:p>
    <w:p w14:paraId="55D6BC43">
      <w:pPr>
        <w:tabs>
          <w:tab w:val="left" w:leader="underscore" w:pos="3773"/>
        </w:tabs>
        <w:spacing w:before="240" w:beforeLines="100" w:line="520" w:lineRule="exact"/>
        <w:rPr>
          <w:rFonts w:ascii="仿宋" w:hAnsi="仿宋" w:eastAsia="仿宋"/>
          <w:sz w:val="28"/>
          <w:szCs w:val="28"/>
        </w:rPr>
      </w:pPr>
      <w:r>
        <w:rPr>
          <w:rFonts w:hint="eastAsia"/>
        </w:rPr>
        <w:t>投标人名称：</w:t>
      </w:r>
      <w:r>
        <w:rPr>
          <w:rFonts w:ascii="仿宋" w:hAnsi="仿宋" w:eastAsia="仿宋"/>
          <w:sz w:val="28"/>
          <w:szCs w:val="28"/>
        </w:rPr>
        <w:tab/>
      </w:r>
    </w:p>
    <w:p w14:paraId="0EF87BCD">
      <w:pPr>
        <w:tabs>
          <w:tab w:val="left" w:leader="underscore" w:pos="2304"/>
          <w:tab w:val="left" w:leader="underscore" w:pos="3773"/>
          <w:tab w:val="left" w:leader="underscore" w:pos="5262"/>
          <w:tab w:val="left" w:leader="underscore" w:pos="6715"/>
        </w:tabs>
        <w:spacing w:line="520" w:lineRule="exact"/>
        <w:rPr>
          <w:rFonts w:ascii="仿宋" w:hAnsi="仿宋" w:eastAsia="仿宋"/>
          <w:sz w:val="28"/>
          <w:szCs w:val="28"/>
        </w:rPr>
      </w:pPr>
      <w:r>
        <w:rPr>
          <w:rFonts w:hint="eastAsia"/>
        </w:rPr>
        <w:t>姓名</w:t>
      </w:r>
      <w:r>
        <w:rPr>
          <w:rFonts w:ascii="仿宋" w:hAnsi="仿宋" w:eastAsia="仿宋"/>
          <w:sz w:val="28"/>
          <w:szCs w:val="28"/>
        </w:rPr>
        <w:t>：</w:t>
      </w:r>
      <w:r>
        <w:rPr>
          <w:rFonts w:ascii="仿宋" w:hAnsi="仿宋" w:eastAsia="仿宋"/>
          <w:sz w:val="28"/>
          <w:szCs w:val="28"/>
        </w:rPr>
        <w:tab/>
      </w:r>
      <w:r>
        <w:rPr>
          <w:rFonts w:hint="eastAsia"/>
        </w:rPr>
        <w:t>性别：</w:t>
      </w:r>
      <w:r>
        <w:rPr>
          <w:rFonts w:ascii="仿宋" w:hAnsi="仿宋" w:eastAsia="仿宋"/>
          <w:sz w:val="28"/>
          <w:szCs w:val="28"/>
        </w:rPr>
        <w:tab/>
      </w:r>
      <w:r>
        <w:rPr>
          <w:rFonts w:hint="eastAsia"/>
        </w:rPr>
        <w:t>年龄</w:t>
      </w:r>
      <w:r>
        <w:rPr>
          <w:rFonts w:ascii="仿宋" w:hAnsi="仿宋" w:eastAsia="仿宋"/>
          <w:sz w:val="28"/>
          <w:szCs w:val="28"/>
        </w:rPr>
        <w:t>：</w:t>
      </w:r>
      <w:r>
        <w:rPr>
          <w:rFonts w:ascii="仿宋" w:hAnsi="仿宋" w:eastAsia="仿宋"/>
          <w:sz w:val="28"/>
          <w:szCs w:val="28"/>
        </w:rPr>
        <w:tab/>
      </w:r>
      <w:r>
        <w:rPr>
          <w:rFonts w:hint="eastAsia"/>
        </w:rPr>
        <w:t>职务：</w:t>
      </w:r>
      <w:r>
        <w:rPr>
          <w:rFonts w:ascii="仿宋" w:hAnsi="仿宋" w:eastAsia="仿宋"/>
          <w:sz w:val="28"/>
          <w:szCs w:val="28"/>
        </w:rPr>
        <w:tab/>
      </w:r>
    </w:p>
    <w:p w14:paraId="2DAEC1C8">
      <w:pPr>
        <w:tabs>
          <w:tab w:val="left" w:leader="underscore" w:pos="2731"/>
        </w:tabs>
        <w:spacing w:line="520" w:lineRule="exact"/>
        <w:rPr>
          <w:rFonts w:ascii="仿宋" w:hAnsi="仿宋" w:eastAsia="仿宋"/>
          <w:sz w:val="28"/>
          <w:szCs w:val="28"/>
        </w:rPr>
      </w:pPr>
      <w:r>
        <w:rPr>
          <w:rFonts w:hint="eastAsia"/>
        </w:rPr>
        <w:t>系</w:t>
      </w:r>
      <w:r>
        <w:rPr>
          <w:rFonts w:ascii="仿宋" w:hAnsi="仿宋" w:eastAsia="仿宋"/>
          <w:sz w:val="28"/>
          <w:szCs w:val="28"/>
        </w:rPr>
        <w:tab/>
      </w:r>
      <w:r>
        <w:rPr>
          <w:rFonts w:ascii="仿宋" w:hAnsi="仿宋" w:eastAsia="仿宋"/>
          <w:sz w:val="28"/>
          <w:szCs w:val="28"/>
        </w:rPr>
        <w:t>(</w:t>
      </w:r>
      <w:r>
        <w:rPr>
          <w:rFonts w:hint="eastAsia"/>
        </w:rPr>
        <w:t>投标人名称）的法定代表人（单位负责人)</w:t>
      </w:r>
    </w:p>
    <w:p w14:paraId="461EA68C">
      <w:pPr>
        <w:tabs>
          <w:tab w:val="left" w:leader="underscore" w:pos="2731"/>
        </w:tabs>
        <w:spacing w:line="520" w:lineRule="exact"/>
        <w:rPr>
          <w:rFonts w:hint="eastAsia"/>
        </w:rPr>
      </w:pPr>
      <w:r>
        <w:rPr>
          <w:rFonts w:hint="eastAsia"/>
        </w:rPr>
        <w:t>特此证明。</w:t>
      </w:r>
    </w:p>
    <w:p w14:paraId="3DE8797F">
      <w:pPr>
        <w:tabs>
          <w:tab w:val="left" w:leader="underscore" w:pos="2731"/>
        </w:tabs>
        <w:spacing w:line="520" w:lineRule="exact"/>
        <w:rPr>
          <w:rFonts w:hint="eastAsia"/>
        </w:rPr>
      </w:pPr>
      <w:r>
        <w:rPr>
          <w:rFonts w:hint="eastAsia"/>
        </w:rPr>
        <w:t>附：法定代表人（单位负责人）身份证复印件。</w:t>
      </w:r>
    </w:p>
    <w:p w14:paraId="7F079B02">
      <w:pPr>
        <w:tabs>
          <w:tab w:val="left" w:leader="underscore" w:pos="2731"/>
        </w:tabs>
        <w:spacing w:line="520" w:lineRule="exact"/>
        <w:rPr>
          <w:rFonts w:hint="eastAsia"/>
        </w:rPr>
      </w:pPr>
      <w:r>
        <w:rPr>
          <w:rFonts w:hint="eastAsia"/>
        </w:rPr>
        <w:t>注：本身份证明需由投标人加盖单位公章。</w:t>
      </w:r>
    </w:p>
    <w:p w14:paraId="086637AE">
      <w:pPr>
        <w:spacing w:after="1057" w:line="520" w:lineRule="exact"/>
        <w:rPr>
          <w:rFonts w:ascii="仿宋" w:hAnsi="仿宋" w:eastAsia="仿宋"/>
          <w:sz w:val="28"/>
          <w:szCs w:val="28"/>
        </w:rPr>
      </w:pPr>
    </w:p>
    <w:p w14:paraId="69E24979">
      <w:pPr>
        <w:tabs>
          <w:tab w:val="left" w:leader="underscore" w:pos="6434"/>
        </w:tabs>
        <w:spacing w:after="642" w:line="520" w:lineRule="exact"/>
        <w:ind w:left="4140"/>
        <w:rPr>
          <w:rFonts w:hint="eastAsia"/>
        </w:rPr>
      </w:pPr>
      <w:r>
        <w:rPr>
          <w:rFonts w:hint="eastAsia"/>
          <w:color w:val="000000"/>
          <w:spacing w:val="-10"/>
          <w:lang w:val="zh-TW" w:eastAsia="zh-TW" w:bidi="zh-TW"/>
        </w:rPr>
        <w:t>投标人：</w:t>
      </w:r>
      <w:r>
        <w:rPr>
          <w:rFonts w:hint="eastAsia"/>
        </w:rPr>
        <w:tab/>
      </w:r>
      <w:r>
        <w:rPr>
          <w:rFonts w:hint="eastAsia"/>
        </w:rPr>
        <w:t>(单位公章)</w:t>
      </w:r>
    </w:p>
    <w:p w14:paraId="60C5AAFA">
      <w:pPr>
        <w:tabs>
          <w:tab w:val="left" w:leader="underscore" w:pos="5262"/>
          <w:tab w:val="left" w:leader="underscore" w:pos="5980"/>
          <w:tab w:val="left" w:leader="underscore" w:pos="6958"/>
        </w:tabs>
        <w:spacing w:line="520" w:lineRule="exact"/>
        <w:ind w:left="4640"/>
        <w:rPr>
          <w:rFonts w:hint="eastAsia"/>
        </w:rPr>
      </w:pPr>
      <w:r>
        <w:rPr>
          <w:rFonts w:hint="eastAsia"/>
        </w:rPr>
        <w:t>年月日</w:t>
      </w:r>
    </w:p>
    <w:p w14:paraId="71372898">
      <w:pPr>
        <w:spacing w:line="360" w:lineRule="auto"/>
        <w:ind w:firstLine="400" w:firstLineChars="200"/>
        <w:rPr>
          <w:rFonts w:ascii="Times New Roman" w:hAnsi="Times New Roman" w:eastAsia="黑体"/>
          <w:color w:val="000000"/>
          <w:sz w:val="20"/>
        </w:rPr>
      </w:pPr>
    </w:p>
    <w:p w14:paraId="48C231A4">
      <w:pPr>
        <w:pStyle w:val="45"/>
        <w:ind w:left="480" w:firstLine="400"/>
        <w:rPr>
          <w:rFonts w:eastAsia="黑体"/>
          <w:color w:val="000000"/>
          <w:sz w:val="20"/>
        </w:rPr>
      </w:pPr>
    </w:p>
    <w:p w14:paraId="27FD46EA">
      <w:pPr>
        <w:pStyle w:val="45"/>
        <w:ind w:left="480" w:firstLine="400"/>
        <w:rPr>
          <w:rFonts w:eastAsia="黑体"/>
          <w:color w:val="000000"/>
          <w:sz w:val="20"/>
        </w:rPr>
      </w:pPr>
    </w:p>
    <w:p w14:paraId="4C93041E">
      <w:pPr>
        <w:pStyle w:val="45"/>
        <w:ind w:left="480" w:firstLine="400"/>
        <w:rPr>
          <w:rFonts w:eastAsia="黑体"/>
          <w:color w:val="000000"/>
          <w:sz w:val="20"/>
        </w:rPr>
      </w:pPr>
    </w:p>
    <w:p w14:paraId="3367D0A6">
      <w:pPr>
        <w:pStyle w:val="45"/>
        <w:ind w:left="480" w:firstLine="400"/>
        <w:rPr>
          <w:rFonts w:eastAsia="黑体"/>
          <w:color w:val="000000"/>
          <w:sz w:val="20"/>
        </w:rPr>
      </w:pPr>
    </w:p>
    <w:p w14:paraId="1F6EE135">
      <w:pPr>
        <w:pStyle w:val="45"/>
        <w:ind w:left="480" w:firstLine="400"/>
        <w:rPr>
          <w:rFonts w:eastAsia="黑体"/>
          <w:color w:val="000000"/>
          <w:sz w:val="20"/>
        </w:rPr>
      </w:pPr>
    </w:p>
    <w:p w14:paraId="5F6CFC46">
      <w:pPr>
        <w:pStyle w:val="45"/>
        <w:ind w:left="480" w:firstLine="400"/>
        <w:rPr>
          <w:rFonts w:eastAsia="黑体"/>
          <w:color w:val="000000"/>
          <w:sz w:val="20"/>
        </w:rPr>
      </w:pPr>
    </w:p>
    <w:p w14:paraId="32AE02A0">
      <w:pPr>
        <w:pStyle w:val="45"/>
        <w:ind w:left="480" w:firstLine="400"/>
        <w:rPr>
          <w:rFonts w:eastAsia="黑体"/>
          <w:color w:val="000000"/>
          <w:sz w:val="20"/>
        </w:rPr>
      </w:pPr>
    </w:p>
    <w:p w14:paraId="0C59099E">
      <w:pPr>
        <w:pStyle w:val="45"/>
        <w:ind w:left="480" w:firstLine="400"/>
        <w:rPr>
          <w:rFonts w:eastAsia="黑体"/>
          <w:color w:val="000000"/>
          <w:sz w:val="20"/>
        </w:rPr>
      </w:pPr>
    </w:p>
    <w:p w14:paraId="31FFE6F3">
      <w:pPr>
        <w:pStyle w:val="45"/>
        <w:ind w:left="480" w:firstLine="400"/>
        <w:rPr>
          <w:rFonts w:eastAsia="黑体"/>
          <w:color w:val="000000"/>
          <w:sz w:val="20"/>
        </w:rPr>
      </w:pPr>
    </w:p>
    <w:p w14:paraId="42688FC2">
      <w:pPr>
        <w:pStyle w:val="45"/>
        <w:ind w:left="480" w:firstLine="400"/>
        <w:rPr>
          <w:rFonts w:eastAsia="黑体"/>
          <w:color w:val="000000"/>
          <w:sz w:val="20"/>
        </w:rPr>
      </w:pPr>
    </w:p>
    <w:p w14:paraId="20F04F6F">
      <w:pPr>
        <w:pStyle w:val="45"/>
        <w:ind w:left="480" w:firstLine="400"/>
        <w:rPr>
          <w:rFonts w:eastAsia="黑体"/>
          <w:color w:val="000000"/>
          <w:sz w:val="20"/>
        </w:rPr>
      </w:pPr>
    </w:p>
    <w:p w14:paraId="38AC0194">
      <w:pPr>
        <w:pStyle w:val="45"/>
        <w:ind w:left="480" w:firstLine="400"/>
        <w:rPr>
          <w:rFonts w:eastAsia="黑体"/>
          <w:color w:val="000000"/>
          <w:sz w:val="20"/>
        </w:rPr>
      </w:pPr>
    </w:p>
    <w:p w14:paraId="75519244">
      <w:pPr>
        <w:pStyle w:val="45"/>
        <w:ind w:left="480" w:firstLine="400"/>
        <w:rPr>
          <w:rFonts w:eastAsia="黑体"/>
          <w:color w:val="000000"/>
          <w:sz w:val="20"/>
        </w:rPr>
      </w:pPr>
    </w:p>
    <w:p w14:paraId="58260BCF">
      <w:pPr>
        <w:pStyle w:val="45"/>
        <w:ind w:left="480" w:firstLine="400"/>
        <w:rPr>
          <w:rFonts w:eastAsia="黑体"/>
          <w:color w:val="000000"/>
          <w:sz w:val="20"/>
        </w:rPr>
      </w:pPr>
    </w:p>
    <w:p w14:paraId="6F18580F">
      <w:pPr>
        <w:pStyle w:val="45"/>
        <w:ind w:left="480" w:firstLine="400"/>
        <w:rPr>
          <w:rFonts w:eastAsia="黑体"/>
          <w:color w:val="000000"/>
          <w:sz w:val="20"/>
        </w:rPr>
      </w:pPr>
    </w:p>
    <w:p w14:paraId="1A7CFF54">
      <w:pPr>
        <w:pStyle w:val="45"/>
        <w:ind w:left="480" w:firstLine="400"/>
        <w:rPr>
          <w:rFonts w:eastAsia="黑体"/>
          <w:color w:val="000000"/>
          <w:sz w:val="20"/>
        </w:rPr>
      </w:pPr>
    </w:p>
    <w:p w14:paraId="10E785AA">
      <w:pPr>
        <w:spacing w:line="360" w:lineRule="auto"/>
        <w:ind w:firstLine="480" w:firstLineChars="200"/>
        <w:rPr>
          <w:rFonts w:cs="仿宋"/>
        </w:rPr>
      </w:pPr>
      <w:bookmarkStart w:id="177" w:name="_Toc14_WPSOffice_Level1"/>
      <w:bookmarkStart w:id="178" w:name="_Toc25293_WPSOffice_Level1"/>
      <w:r>
        <w:rPr>
          <w:rFonts w:hint="eastAsia" w:cs="仿宋"/>
        </w:rPr>
        <w:t>3、授权委托书</w:t>
      </w:r>
      <w:bookmarkEnd w:id="177"/>
      <w:bookmarkEnd w:id="178"/>
    </w:p>
    <w:p w14:paraId="2E8CA635">
      <w:pPr>
        <w:pStyle w:val="3"/>
        <w:spacing w:before="0" w:after="0" w:line="300" w:lineRule="auto"/>
        <w:jc w:val="center"/>
        <w:rPr>
          <w:rFonts w:ascii="Times New Roman" w:hAnsi="Times New Roman"/>
          <w:b w:val="0"/>
          <w:bCs w:val="0"/>
          <w:color w:val="000000"/>
        </w:rPr>
      </w:pPr>
      <w:r>
        <w:rPr>
          <w:rFonts w:hint="eastAsia" w:ascii="Times New Roman" w:hAnsi="Times New Roman"/>
          <w:b w:val="0"/>
          <w:bCs w:val="0"/>
          <w:color w:val="000000"/>
        </w:rPr>
        <w:t>授权委托书</w:t>
      </w:r>
      <w:r>
        <w:rPr>
          <w:rFonts w:hint="eastAsia" w:ascii="仿宋" w:hAnsi="仿宋" w:eastAsia="仿宋" w:cs="MingLiU"/>
          <w:color w:val="000000"/>
          <w:sz w:val="30"/>
          <w:szCs w:val="30"/>
          <w:shd w:val="clear" w:color="auto" w:fill="FFFFFF"/>
          <w:lang w:val="zh-TW" w:eastAsia="zh-TW" w:bidi="zh-TW"/>
        </w:rPr>
        <w:t>(适用于委托代理人投标时)</w:t>
      </w:r>
    </w:p>
    <w:p w14:paraId="2DF02921">
      <w:pPr>
        <w:spacing w:line="300" w:lineRule="auto"/>
        <w:rPr>
          <w:rFonts w:ascii="Times New Roman" w:hAnsi="Times New Roman" w:eastAsia="黑体"/>
          <w:color w:val="000000"/>
          <w:szCs w:val="21"/>
        </w:rPr>
      </w:pPr>
    </w:p>
    <w:p w14:paraId="57B1303E">
      <w:pPr>
        <w:topLinePunct/>
        <w:spacing w:line="300" w:lineRule="auto"/>
        <w:ind w:firstLine="480" w:firstLineChars="200"/>
        <w:rPr>
          <w:rFonts w:ascii="Times New Roman" w:hAnsi="Times New Roman"/>
          <w:color w:val="000000"/>
          <w:szCs w:val="21"/>
        </w:rPr>
      </w:pPr>
      <w:r>
        <w:rPr>
          <w:rFonts w:hint="eastAsia" w:ascii="Times New Roman" w:hAnsi="Times New Roman"/>
          <w:color w:val="000000"/>
          <w:szCs w:val="21"/>
        </w:rPr>
        <w:t>本人</w:t>
      </w:r>
      <w:r>
        <w:rPr>
          <w:rFonts w:ascii="Times New Roman" w:hAnsi="Times New Roman"/>
          <w:color w:val="000000"/>
          <w:szCs w:val="21"/>
          <w:u w:val="single"/>
        </w:rPr>
        <w:t xml:space="preserve">       </w:t>
      </w:r>
      <w:r>
        <w:rPr>
          <w:rFonts w:hint="eastAsia" w:ascii="Times New Roman" w:hAnsi="Times New Roman"/>
          <w:color w:val="000000"/>
          <w:szCs w:val="21"/>
        </w:rPr>
        <w:t>（姓名）系</w:t>
      </w:r>
      <w:r>
        <w:rPr>
          <w:rFonts w:ascii="Times New Roman" w:hAnsi="Times New Roman"/>
          <w:color w:val="000000"/>
          <w:szCs w:val="21"/>
          <w:u w:val="single"/>
        </w:rPr>
        <w:t xml:space="preserve">        </w:t>
      </w:r>
      <w:r>
        <w:rPr>
          <w:rFonts w:hint="eastAsia" w:ascii="Times New Roman" w:hAnsi="Times New Roman"/>
          <w:color w:val="000000"/>
          <w:szCs w:val="21"/>
        </w:rPr>
        <w:t>（名称）的法定代表人，现委托</w:t>
      </w:r>
      <w:r>
        <w:rPr>
          <w:rFonts w:ascii="Times New Roman" w:hAnsi="Times New Roman"/>
          <w:color w:val="000000"/>
          <w:szCs w:val="21"/>
          <w:u w:val="single"/>
        </w:rPr>
        <w:t xml:space="preserve">        </w:t>
      </w:r>
      <w:r>
        <w:rPr>
          <w:rFonts w:hint="eastAsia" w:ascii="Times New Roman" w:hAnsi="Times New Roman"/>
          <w:color w:val="000000"/>
          <w:szCs w:val="21"/>
        </w:rPr>
        <w:t>（姓名）为我方代理人。代理人根据授权，以我方名义签署、澄清、说明、补正、递交、撤回、修改</w:t>
      </w:r>
      <w:r>
        <w:rPr>
          <w:rFonts w:ascii="Times New Roman" w:hAnsi="Times New Roman"/>
          <w:color w:val="000000"/>
          <w:szCs w:val="21"/>
          <w:u w:val="single"/>
        </w:rPr>
        <w:t xml:space="preserve">           </w:t>
      </w:r>
      <w:r>
        <w:rPr>
          <w:rFonts w:hint="eastAsia" w:ascii="Times New Roman" w:hAnsi="Times New Roman"/>
          <w:color w:val="000000"/>
          <w:szCs w:val="21"/>
        </w:rPr>
        <w:t>（项目名称）投标文件、签订合同和处理有关事宜，其法律后果由我方承担。</w:t>
      </w:r>
    </w:p>
    <w:p w14:paraId="76ADF427">
      <w:pPr>
        <w:spacing w:line="300" w:lineRule="auto"/>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委托期限：</w:t>
      </w:r>
      <w:r>
        <w:rPr>
          <w:rFonts w:ascii="Times New Roman" w:hAnsi="Times New Roman"/>
          <w:color w:val="000000"/>
          <w:szCs w:val="21"/>
          <w:u w:val="single"/>
        </w:rPr>
        <w:t xml:space="preserve">             </w:t>
      </w:r>
      <w:r>
        <w:rPr>
          <w:rFonts w:hint="eastAsia" w:ascii="Times New Roman" w:hAnsi="Times New Roman"/>
          <w:color w:val="000000"/>
          <w:szCs w:val="21"/>
        </w:rPr>
        <w:t>。</w:t>
      </w:r>
    </w:p>
    <w:p w14:paraId="236D122D">
      <w:pPr>
        <w:spacing w:line="300" w:lineRule="auto"/>
        <w:ind w:firstLine="480" w:firstLineChars="200"/>
        <w:rPr>
          <w:rFonts w:ascii="Times New Roman" w:hAnsi="Times New Roman"/>
          <w:color w:val="000000"/>
          <w:szCs w:val="21"/>
        </w:rPr>
      </w:pPr>
      <w:r>
        <w:rPr>
          <w:rFonts w:hint="eastAsia" w:ascii="Times New Roman" w:hAnsi="Times New Roman"/>
          <w:color w:val="000000"/>
          <w:szCs w:val="21"/>
        </w:rPr>
        <w:t>代理人无转委托权。</w:t>
      </w:r>
    </w:p>
    <w:p w14:paraId="385D336F">
      <w:pPr>
        <w:topLinePunct/>
        <w:spacing w:line="360" w:lineRule="auto"/>
        <w:ind w:firstLine="480" w:firstLineChars="200"/>
        <w:rPr>
          <w:rFonts w:cs="仿宋"/>
        </w:rPr>
      </w:pPr>
      <w:r>
        <w:rPr>
          <w:rFonts w:hint="eastAsia" w:cs="仿宋"/>
        </w:rPr>
        <w:t>附：（1）法定代表人身份证复印件。</w:t>
      </w:r>
    </w:p>
    <w:p w14:paraId="16B7086E">
      <w:pPr>
        <w:topLinePunct/>
        <w:spacing w:line="360" w:lineRule="auto"/>
        <w:ind w:firstLine="960" w:firstLineChars="400"/>
        <w:rPr>
          <w:rFonts w:hint="eastAsia" w:cs="仿宋"/>
        </w:rPr>
      </w:pPr>
      <w:r>
        <w:rPr>
          <w:rFonts w:hint="eastAsia" w:cs="仿宋"/>
        </w:rPr>
        <w:t>（2）委托代理人身份证复印件。</w:t>
      </w:r>
    </w:p>
    <w:p w14:paraId="6AEA6149">
      <w:pPr>
        <w:topLinePunct/>
        <w:spacing w:line="360" w:lineRule="auto"/>
        <w:ind w:firstLine="960" w:firstLineChars="400"/>
        <w:rPr>
          <w:rFonts w:hint="eastAsia" w:cs="仿宋"/>
        </w:rPr>
      </w:pPr>
      <w:r>
        <w:rPr>
          <w:rFonts w:hint="eastAsia" w:cs="仿宋"/>
        </w:rPr>
        <w:t>（3）委托代理人社保证明。</w:t>
      </w:r>
    </w:p>
    <w:p w14:paraId="7BD5A90D">
      <w:pPr>
        <w:spacing w:line="300" w:lineRule="auto"/>
        <w:rPr>
          <w:rFonts w:ascii="Times New Roman" w:hAnsi="Times New Roman"/>
          <w:color w:val="000000"/>
          <w:szCs w:val="21"/>
        </w:rPr>
      </w:pPr>
    </w:p>
    <w:p w14:paraId="2FDF93D7">
      <w:pPr>
        <w:spacing w:line="300" w:lineRule="auto"/>
        <w:rPr>
          <w:rFonts w:ascii="Times New Roman" w:hAnsi="Times New Roman"/>
          <w:color w:val="000000"/>
          <w:szCs w:val="21"/>
        </w:rPr>
      </w:pPr>
    </w:p>
    <w:p w14:paraId="54D68A54">
      <w:pPr>
        <w:spacing w:line="300" w:lineRule="auto"/>
        <w:rPr>
          <w:rFonts w:ascii="Times New Roman" w:hAnsi="Times New Roman"/>
          <w:color w:val="000000"/>
          <w:szCs w:val="21"/>
        </w:rPr>
      </w:pPr>
      <w:r>
        <w:rPr>
          <w:rFonts w:hint="eastAsia" w:ascii="Times New Roman" w:hAnsi="Times New Roman"/>
          <w:color w:val="000000"/>
          <w:szCs w:val="21"/>
        </w:rPr>
        <w:t>投标人：</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05FB3B0B">
      <w:pPr>
        <w:spacing w:line="300" w:lineRule="auto"/>
        <w:rPr>
          <w:rFonts w:ascii="Times New Roman" w:hAnsi="Times New Roman"/>
          <w:color w:val="000000"/>
          <w:szCs w:val="21"/>
        </w:rPr>
      </w:pPr>
    </w:p>
    <w:p w14:paraId="220BD2F4">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35937780">
      <w:pPr>
        <w:spacing w:line="300" w:lineRule="auto"/>
        <w:rPr>
          <w:rFonts w:ascii="Times New Roman" w:hAnsi="Times New Roman"/>
          <w:color w:val="000000"/>
          <w:szCs w:val="21"/>
        </w:rPr>
      </w:pPr>
    </w:p>
    <w:p w14:paraId="5D420725">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122143E9">
      <w:pPr>
        <w:spacing w:line="300" w:lineRule="auto"/>
        <w:rPr>
          <w:rFonts w:ascii="Times New Roman" w:hAnsi="Times New Roman"/>
          <w:color w:val="000000"/>
          <w:szCs w:val="21"/>
        </w:rPr>
      </w:pPr>
    </w:p>
    <w:p w14:paraId="3FCE5865">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r>
        <w:rPr>
          <w:rFonts w:ascii="Times New Roman" w:hAnsi="Times New Roman"/>
          <w:color w:val="000000"/>
          <w:szCs w:val="21"/>
        </w:rPr>
        <w:t xml:space="preserve"> </w:t>
      </w:r>
    </w:p>
    <w:p w14:paraId="6EB124F3">
      <w:pPr>
        <w:spacing w:line="300" w:lineRule="auto"/>
        <w:rPr>
          <w:rFonts w:ascii="Times New Roman" w:hAnsi="Times New Roman"/>
          <w:color w:val="000000"/>
          <w:szCs w:val="21"/>
        </w:rPr>
      </w:pPr>
    </w:p>
    <w:p w14:paraId="503A550E">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72DBACC1">
      <w:pPr>
        <w:spacing w:line="300" w:lineRule="auto"/>
        <w:rPr>
          <w:rFonts w:ascii="Times New Roman" w:hAnsi="Times New Roman"/>
          <w:color w:val="000000"/>
          <w:szCs w:val="21"/>
        </w:rPr>
      </w:pPr>
    </w:p>
    <w:p w14:paraId="1C4496E7">
      <w:pPr>
        <w:spacing w:line="300" w:lineRule="auto"/>
        <w:rPr>
          <w:rFonts w:ascii="Times New Roman" w:hAnsi="Times New Roman"/>
          <w:color w:val="000000"/>
          <w:szCs w:val="21"/>
        </w:rPr>
      </w:pPr>
    </w:p>
    <w:p w14:paraId="1A927D93">
      <w:pPr>
        <w:spacing w:line="300" w:lineRule="auto"/>
        <w:ind w:firstLine="2640" w:firstLineChars="1100"/>
        <w:rPr>
          <w:rFonts w:ascii="Times New Roman" w:hAnsi="Times New Roman" w:eastAsia="黑体"/>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0A9DEADF">
      <w:pPr>
        <w:spacing w:line="300" w:lineRule="auto"/>
        <w:ind w:left="480" w:hanging="482" w:hangingChars="200"/>
        <w:rPr>
          <w:rFonts w:ascii="Times New Roman" w:hAnsi="Times New Roman" w:eastAsia="楷体_GB2312"/>
          <w:b/>
          <w:color w:val="000000"/>
          <w:lang w:val="zh-CN"/>
        </w:rPr>
      </w:pPr>
    </w:p>
    <w:p w14:paraId="5FE1A5C3">
      <w:pPr>
        <w:spacing w:line="300" w:lineRule="auto"/>
        <w:rPr>
          <w:rFonts w:ascii="Times New Roman" w:hAnsi="Times New Roman" w:eastAsia="黑体"/>
          <w:color w:val="000000"/>
          <w:sz w:val="20"/>
        </w:rPr>
      </w:pPr>
    </w:p>
    <w:p w14:paraId="68AB19DF">
      <w:pPr>
        <w:pStyle w:val="3"/>
        <w:spacing w:before="0" w:after="0" w:line="300" w:lineRule="auto"/>
        <w:jc w:val="center"/>
        <w:rPr>
          <w:rFonts w:hint="eastAsia" w:ascii="Times New Roman" w:hAnsi="Times New Roman"/>
          <w:color w:val="000000"/>
        </w:rPr>
      </w:pPr>
    </w:p>
    <w:p w14:paraId="48B6ACB1">
      <w:pPr>
        <w:pStyle w:val="3"/>
        <w:spacing w:before="0" w:after="0" w:line="300" w:lineRule="auto"/>
        <w:jc w:val="center"/>
        <w:rPr>
          <w:rFonts w:hint="eastAsia" w:ascii="Times New Roman" w:hAnsi="Times New Roman"/>
          <w:color w:val="000000"/>
        </w:rPr>
      </w:pPr>
    </w:p>
    <w:p w14:paraId="0B9AE6F4">
      <w:pPr>
        <w:pStyle w:val="3"/>
        <w:spacing w:before="0" w:after="0" w:line="300" w:lineRule="auto"/>
        <w:jc w:val="center"/>
        <w:rPr>
          <w:rFonts w:hint="eastAsia" w:ascii="Times New Roman" w:hAnsi="Times New Roman"/>
          <w:color w:val="000000"/>
        </w:rPr>
      </w:pPr>
    </w:p>
    <w:p w14:paraId="5F270100">
      <w:pPr>
        <w:pStyle w:val="3"/>
        <w:spacing w:before="0" w:after="0" w:line="300" w:lineRule="auto"/>
        <w:jc w:val="center"/>
        <w:rPr>
          <w:rFonts w:hint="eastAsia" w:ascii="Times New Roman" w:hAnsi="Times New Roman"/>
          <w:color w:val="000000"/>
        </w:rPr>
      </w:pPr>
    </w:p>
    <w:p w14:paraId="6C1C4029">
      <w:pPr>
        <w:rPr>
          <w:rFonts w:hint="eastAsia"/>
        </w:rPr>
      </w:pPr>
    </w:p>
    <w:p w14:paraId="58EA199B">
      <w:pPr>
        <w:spacing w:line="300" w:lineRule="auto"/>
        <w:jc w:val="center"/>
        <w:rPr>
          <w:rFonts w:hint="eastAsia" w:ascii="Times New Roman" w:hAnsi="Times New Roman" w:eastAsia="黑体" w:cs="Times New Roman"/>
          <w:color w:val="000000"/>
          <w:sz w:val="32"/>
          <w:szCs w:val="32"/>
        </w:rPr>
      </w:pPr>
    </w:p>
    <w:p w14:paraId="46448EF5">
      <w:pPr>
        <w:spacing w:line="300" w:lineRule="auto"/>
        <w:jc w:val="center"/>
        <w:rPr>
          <w:rFonts w:hint="eastAsia" w:ascii="Times New Roman" w:hAnsi="Times New Roman" w:eastAsia="黑体" w:cs="Times New Roman"/>
          <w:color w:val="000000"/>
          <w:sz w:val="32"/>
          <w:szCs w:val="32"/>
        </w:rPr>
      </w:pPr>
    </w:p>
    <w:p w14:paraId="2FBB8C92">
      <w:pPr>
        <w:spacing w:line="300" w:lineRule="auto"/>
        <w:jc w:val="center"/>
        <w:rPr>
          <w:rFonts w:hint="eastAsia" w:ascii="Times New Roman" w:hAnsi="Times New Roman" w:eastAsia="黑体" w:cs="Times New Roman"/>
          <w:color w:val="000000"/>
          <w:sz w:val="32"/>
          <w:szCs w:val="32"/>
        </w:rPr>
      </w:pPr>
      <w:bookmarkStart w:id="179" w:name="_Toc20722_WPSOffice_Level1"/>
      <w:bookmarkStart w:id="180" w:name="_Toc22089_WPSOffice_Level1"/>
      <w:r>
        <w:rPr>
          <w:rFonts w:hint="eastAsia" w:ascii="Times New Roman" w:hAnsi="Times New Roman" w:eastAsia="黑体" w:cs="Times New Roman"/>
          <w:color w:val="000000"/>
          <w:sz w:val="32"/>
          <w:szCs w:val="32"/>
        </w:rPr>
        <w:t>4、投标保证金</w:t>
      </w:r>
      <w:bookmarkEnd w:id="179"/>
      <w:bookmarkEnd w:id="180"/>
    </w:p>
    <w:p w14:paraId="068253ED">
      <w:pPr>
        <w:spacing w:line="560" w:lineRule="exact"/>
        <w:ind w:firstLine="480" w:firstLineChars="200"/>
        <w:rPr>
          <w:rFonts w:hint="eastAsia"/>
        </w:rPr>
      </w:pPr>
      <w:r>
        <w:rPr>
          <w:rFonts w:hint="eastAsia"/>
        </w:rPr>
        <w:t>若采用现金或支票，投标人应在此提供交款回单的复印件。</w:t>
      </w:r>
    </w:p>
    <w:p w14:paraId="2C563E24">
      <w:pPr>
        <w:spacing w:line="300" w:lineRule="auto"/>
        <w:jc w:val="center"/>
        <w:rPr>
          <w:rFonts w:hint="eastAsia" w:ascii="Times New Roman" w:hAnsi="Times New Roman" w:eastAsia="黑体" w:cs="Times New Roman"/>
          <w:color w:val="000000"/>
          <w:sz w:val="32"/>
          <w:szCs w:val="32"/>
        </w:rPr>
      </w:pPr>
      <w:bookmarkStart w:id="181" w:name="_Toc27730_WPSOffice_Level1"/>
      <w:bookmarkStart w:id="182" w:name="_Toc508871757"/>
      <w:bookmarkStart w:id="183" w:name="_Toc506105877"/>
      <w:bookmarkStart w:id="184" w:name="_Toc391556617"/>
      <w:bookmarkStart w:id="185" w:name="_Toc20492_WPSOffice_Level1"/>
      <w:bookmarkStart w:id="186" w:name="_Toc352160852"/>
      <w:r>
        <w:rPr>
          <w:rFonts w:hint="eastAsia" w:ascii="Times New Roman" w:hAnsi="Times New Roman" w:eastAsia="黑体" w:cs="Times New Roman"/>
          <w:color w:val="000000"/>
          <w:sz w:val="32"/>
          <w:szCs w:val="32"/>
        </w:rPr>
        <w:t>5、资格审查资料</w:t>
      </w:r>
      <w:bookmarkEnd w:id="181"/>
      <w:bookmarkEnd w:id="182"/>
      <w:bookmarkEnd w:id="183"/>
      <w:bookmarkEnd w:id="184"/>
      <w:bookmarkEnd w:id="185"/>
      <w:bookmarkEnd w:id="186"/>
    </w:p>
    <w:p w14:paraId="6AD4E813">
      <w:pPr>
        <w:spacing w:line="360" w:lineRule="auto"/>
        <w:rPr>
          <w:rFonts w:cs="仿宋"/>
          <w:bCs/>
        </w:rPr>
      </w:pPr>
      <w:bookmarkStart w:id="187" w:name="_Toc337496474"/>
      <w:r>
        <w:rPr>
          <w:rFonts w:hint="eastAsia" w:cs="仿宋"/>
          <w:bCs/>
        </w:rPr>
        <w:t>5.1</w:t>
      </w:r>
      <w:bookmarkEnd w:id="187"/>
      <w:r>
        <w:rPr>
          <w:rFonts w:hint="eastAsia" w:cs="仿宋"/>
          <w:bCs/>
        </w:rPr>
        <w:t>投标人基本情况及证书复印件</w:t>
      </w:r>
    </w:p>
    <w:p w14:paraId="30952055">
      <w:pPr>
        <w:spacing w:line="360" w:lineRule="auto"/>
        <w:jc w:val="center"/>
        <w:rPr>
          <w:rFonts w:cs="仿宋"/>
        </w:rPr>
      </w:pPr>
      <w:r>
        <w:rPr>
          <w:rFonts w:hint="eastAsia" w:cs="仿宋"/>
          <w:b/>
        </w:rPr>
        <w:t>基本情况</w:t>
      </w:r>
    </w:p>
    <w:tbl>
      <w:tblPr>
        <w:tblStyle w:val="4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709"/>
        <w:gridCol w:w="388"/>
        <w:gridCol w:w="333"/>
        <w:gridCol w:w="399"/>
        <w:gridCol w:w="94"/>
        <w:gridCol w:w="829"/>
        <w:gridCol w:w="1147"/>
        <w:gridCol w:w="198"/>
        <w:gridCol w:w="652"/>
        <w:gridCol w:w="1490"/>
      </w:tblGrid>
      <w:tr w14:paraId="6EC8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791455">
            <w:pPr>
              <w:topLinePunct/>
              <w:spacing w:line="360" w:lineRule="auto"/>
              <w:jc w:val="center"/>
              <w:rPr>
                <w:rFonts w:cs="仿宋"/>
              </w:rPr>
            </w:pPr>
            <w:r>
              <w:rPr>
                <w:rFonts w:hint="eastAsia" w:cs="仿宋"/>
              </w:rPr>
              <w:t>投标人名称</w:t>
            </w: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47928458">
            <w:pPr>
              <w:topLinePunct/>
              <w:spacing w:line="360" w:lineRule="auto"/>
              <w:jc w:val="center"/>
              <w:rPr>
                <w:rFonts w:cs="仿宋"/>
              </w:rPr>
            </w:pPr>
          </w:p>
        </w:tc>
      </w:tr>
      <w:tr w14:paraId="2DAB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0D8B96">
            <w:pPr>
              <w:topLinePunct/>
              <w:spacing w:line="360" w:lineRule="auto"/>
              <w:ind w:left="-120" w:leftChars="-50" w:right="-120" w:rightChars="-50"/>
              <w:jc w:val="center"/>
              <w:rPr>
                <w:rFonts w:cs="仿宋"/>
              </w:rPr>
            </w:pPr>
            <w:r>
              <w:rPr>
                <w:rFonts w:hint="eastAsia" w:cs="仿宋"/>
              </w:rPr>
              <w:t>制造商</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228C58B2">
            <w:pPr>
              <w:topLinePunct/>
              <w:spacing w:line="360" w:lineRule="auto"/>
              <w:jc w:val="center"/>
              <w:rPr>
                <w:rFonts w:cs="仿宋"/>
                <w:b/>
                <w:bCs/>
                <w:kern w:val="44"/>
                <w:sz w:val="32"/>
              </w:rPr>
            </w:pPr>
          </w:p>
        </w:tc>
        <w:tc>
          <w:tcPr>
            <w:tcW w:w="1322" w:type="dxa"/>
            <w:gridSpan w:val="3"/>
            <w:tcBorders>
              <w:top w:val="single" w:color="000000" w:sz="4" w:space="0"/>
              <w:left w:val="single" w:color="000000" w:sz="4" w:space="0"/>
              <w:bottom w:val="single" w:color="000000" w:sz="4" w:space="0"/>
              <w:right w:val="single" w:color="000000" w:sz="4" w:space="0"/>
            </w:tcBorders>
            <w:noWrap w:val="0"/>
            <w:vAlign w:val="center"/>
          </w:tcPr>
          <w:p w14:paraId="671154C2">
            <w:pPr>
              <w:topLinePunct/>
              <w:spacing w:line="360" w:lineRule="auto"/>
              <w:jc w:val="center"/>
              <w:rPr>
                <w:rFonts w:cs="仿宋"/>
              </w:rPr>
            </w:pPr>
            <w:r>
              <w:rPr>
                <w:rFonts w:hint="eastAsia" w:cs="仿宋"/>
              </w:rPr>
              <w:t>所属集团</w:t>
            </w:r>
          </w:p>
        </w:tc>
        <w:tc>
          <w:tcPr>
            <w:tcW w:w="3487" w:type="dxa"/>
            <w:gridSpan w:val="4"/>
            <w:tcBorders>
              <w:top w:val="single" w:color="000000" w:sz="4" w:space="0"/>
              <w:left w:val="single" w:color="000000" w:sz="4" w:space="0"/>
              <w:bottom w:val="single" w:color="000000" w:sz="4" w:space="0"/>
              <w:right w:val="single" w:color="000000" w:sz="4" w:space="0"/>
            </w:tcBorders>
            <w:noWrap w:val="0"/>
            <w:vAlign w:val="center"/>
          </w:tcPr>
          <w:p w14:paraId="09343DD7">
            <w:pPr>
              <w:topLinePunct/>
              <w:spacing w:line="360" w:lineRule="auto"/>
              <w:jc w:val="center"/>
              <w:rPr>
                <w:rFonts w:cs="仿宋"/>
              </w:rPr>
            </w:pPr>
          </w:p>
        </w:tc>
      </w:tr>
      <w:tr w14:paraId="66E0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642C56D">
            <w:pPr>
              <w:topLinePunct/>
              <w:spacing w:line="360" w:lineRule="auto"/>
              <w:jc w:val="center"/>
              <w:rPr>
                <w:rFonts w:cs="仿宋"/>
              </w:rPr>
            </w:pPr>
            <w:r>
              <w:rPr>
                <w:rFonts w:hint="eastAsia" w:cs="仿宋"/>
              </w:rPr>
              <w:t>注册地址</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6C633267">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05EBB9E">
            <w:pPr>
              <w:topLinePunct/>
              <w:spacing w:line="360" w:lineRule="auto"/>
              <w:ind w:left="-120" w:leftChars="-50" w:right="-120" w:rightChars="-50"/>
              <w:jc w:val="center"/>
              <w:rPr>
                <w:rFonts w:cs="仿宋"/>
              </w:rPr>
            </w:pPr>
            <w:r>
              <w:rPr>
                <w:rFonts w:hint="eastAsia" w:cs="仿宋"/>
              </w:rPr>
              <w:t>邮政编码</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7B4AF596">
            <w:pPr>
              <w:topLinePunct/>
              <w:spacing w:line="360" w:lineRule="auto"/>
              <w:jc w:val="center"/>
              <w:rPr>
                <w:rFonts w:cs="仿宋"/>
              </w:rPr>
            </w:pPr>
          </w:p>
        </w:tc>
      </w:tr>
      <w:tr w14:paraId="07B9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5D5E055">
            <w:pPr>
              <w:topLinePunct/>
              <w:adjustRightInd w:val="0"/>
              <w:snapToGrid w:val="0"/>
              <w:spacing w:line="360" w:lineRule="auto"/>
              <w:jc w:val="center"/>
              <w:rPr>
                <w:rFonts w:cs="仿宋"/>
              </w:rPr>
            </w:pPr>
            <w:r>
              <w:rPr>
                <w:rFonts w:hint="eastAsia" w:cs="仿宋"/>
              </w:rPr>
              <w:t>成立或</w:t>
            </w:r>
          </w:p>
          <w:p w14:paraId="4A09820B">
            <w:pPr>
              <w:topLinePunct/>
              <w:adjustRightInd w:val="0"/>
              <w:snapToGrid w:val="0"/>
              <w:spacing w:line="360" w:lineRule="auto"/>
              <w:jc w:val="center"/>
              <w:rPr>
                <w:rFonts w:cs="仿宋"/>
              </w:rPr>
            </w:pPr>
            <w:r>
              <w:rPr>
                <w:rFonts w:hint="eastAsia" w:cs="仿宋"/>
              </w:rPr>
              <w:t>注册时间</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254B7B4E">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AF96892">
            <w:pPr>
              <w:topLinePunct/>
              <w:spacing w:line="360" w:lineRule="auto"/>
              <w:ind w:left="-120" w:leftChars="-50" w:right="-120" w:rightChars="-50"/>
              <w:jc w:val="center"/>
              <w:rPr>
                <w:rFonts w:cs="仿宋"/>
              </w:rPr>
            </w:pPr>
            <w:r>
              <w:rPr>
                <w:rFonts w:hint="eastAsia" w:cs="仿宋"/>
              </w:rPr>
              <w:t>注册资金</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4BC880D6">
            <w:pPr>
              <w:topLinePunct/>
              <w:spacing w:line="360" w:lineRule="auto"/>
              <w:jc w:val="center"/>
              <w:rPr>
                <w:rFonts w:cs="仿宋"/>
              </w:rPr>
            </w:pPr>
          </w:p>
        </w:tc>
      </w:tr>
      <w:tr w14:paraId="4184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2CE7AA">
            <w:pPr>
              <w:topLinePunct/>
              <w:spacing w:line="360" w:lineRule="auto"/>
              <w:jc w:val="center"/>
              <w:rPr>
                <w:rFonts w:cs="仿宋"/>
              </w:rPr>
            </w:pPr>
            <w:r>
              <w:rPr>
                <w:rFonts w:hint="eastAsia" w:cs="仿宋"/>
              </w:rPr>
              <w:t>主要负责人</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154C4063">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DDE840F">
            <w:pPr>
              <w:topLinePunct/>
              <w:spacing w:line="360" w:lineRule="auto"/>
              <w:ind w:left="-120" w:leftChars="-50" w:right="-120"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604E6681">
            <w:pPr>
              <w:topLinePunct/>
              <w:spacing w:line="360" w:lineRule="auto"/>
              <w:jc w:val="center"/>
              <w:rPr>
                <w:rFonts w:cs="仿宋"/>
              </w:rPr>
            </w:pPr>
          </w:p>
        </w:tc>
      </w:tr>
      <w:tr w14:paraId="20D6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DBD4F">
            <w:pPr>
              <w:topLinePunct/>
              <w:spacing w:line="360" w:lineRule="auto"/>
              <w:jc w:val="center"/>
              <w:rPr>
                <w:rFonts w:cs="仿宋"/>
              </w:rPr>
            </w:pPr>
            <w:r>
              <w:rPr>
                <w:rFonts w:hint="eastAsia" w:cs="仿宋"/>
              </w:rPr>
              <w:t>联系方式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53B8647">
            <w:pPr>
              <w:topLinePunct/>
              <w:spacing w:line="360" w:lineRule="auto"/>
              <w:jc w:val="center"/>
              <w:rPr>
                <w:rFonts w:cs="仿宋"/>
              </w:rPr>
            </w:pPr>
            <w:r>
              <w:rPr>
                <w:rFonts w:hint="eastAsia" w:cs="仿宋"/>
              </w:rPr>
              <w:t>联系人</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55AB48C8">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6BDBACD">
            <w:pPr>
              <w:topLinePunct/>
              <w:spacing w:line="360" w:lineRule="auto"/>
              <w:ind w:left="-120" w:leftChars="-50" w:right="-120"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09B10812">
            <w:pPr>
              <w:topLinePunct/>
              <w:spacing w:line="360" w:lineRule="auto"/>
              <w:jc w:val="center"/>
              <w:rPr>
                <w:rFonts w:cs="仿宋"/>
              </w:rPr>
            </w:pPr>
          </w:p>
        </w:tc>
      </w:tr>
      <w:tr w14:paraId="3B4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36B17">
            <w:pPr>
              <w:spacing w:line="360" w:lineRule="auto"/>
              <w:rPr>
                <w:rFonts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89ADFEB">
            <w:pPr>
              <w:topLinePunct/>
              <w:spacing w:line="360" w:lineRule="auto"/>
              <w:jc w:val="center"/>
              <w:rPr>
                <w:rFonts w:cs="仿宋"/>
              </w:rPr>
            </w:pPr>
            <w:r>
              <w:rPr>
                <w:rFonts w:hint="eastAsia" w:cs="仿宋"/>
              </w:rPr>
              <w:t>传  真</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22BB5046">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B8B5795">
            <w:pPr>
              <w:topLinePunct/>
              <w:spacing w:line="360" w:lineRule="auto"/>
              <w:ind w:left="-120" w:leftChars="-50" w:right="-120" w:rightChars="-50"/>
              <w:jc w:val="center"/>
              <w:rPr>
                <w:rFonts w:cs="仿宋"/>
              </w:rPr>
            </w:pPr>
            <w:r>
              <w:rPr>
                <w:rFonts w:hint="eastAsia" w:cs="仿宋"/>
              </w:rPr>
              <w:t>电子邮箱</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1529B8C8">
            <w:pPr>
              <w:topLinePunct/>
              <w:spacing w:line="360" w:lineRule="auto"/>
              <w:jc w:val="center"/>
              <w:rPr>
                <w:rFonts w:cs="仿宋"/>
              </w:rPr>
            </w:pPr>
          </w:p>
        </w:tc>
      </w:tr>
      <w:tr w14:paraId="70C5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BCD5E">
            <w:pPr>
              <w:topLinePunct/>
              <w:spacing w:line="360" w:lineRule="auto"/>
              <w:jc w:val="center"/>
              <w:rPr>
                <w:rFonts w:cs="仿宋"/>
              </w:rPr>
            </w:pPr>
            <w:r>
              <w:rPr>
                <w:rFonts w:hint="eastAsia" w:cs="仿宋"/>
              </w:rPr>
              <w:t>制造企业</w:t>
            </w:r>
          </w:p>
          <w:p w14:paraId="005E7AAB">
            <w:pPr>
              <w:topLinePunct/>
              <w:spacing w:line="360" w:lineRule="auto"/>
              <w:jc w:val="center"/>
              <w:rPr>
                <w:rFonts w:cs="仿宋"/>
              </w:rPr>
            </w:pPr>
            <w:r>
              <w:rPr>
                <w:rFonts w:hint="eastAsia" w:cs="仿宋"/>
              </w:rPr>
              <w:t>基本情况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4F98FF2">
            <w:pPr>
              <w:topLinePunct/>
              <w:spacing w:line="360" w:lineRule="auto"/>
              <w:ind w:left="-120" w:leftChars="-50" w:right="-120" w:rightChars="-50"/>
              <w:jc w:val="center"/>
              <w:rPr>
                <w:rFonts w:cs="仿宋"/>
              </w:rPr>
            </w:pPr>
            <w:r>
              <w:rPr>
                <w:rFonts w:hint="eastAsia" w:cs="仿宋"/>
              </w:rPr>
              <w:t>名称</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058D916F">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8E7836">
            <w:pPr>
              <w:topLinePunct/>
              <w:spacing w:line="360" w:lineRule="auto"/>
              <w:ind w:left="-120" w:leftChars="-50" w:right="-120" w:rightChars="-50"/>
              <w:jc w:val="center"/>
              <w:rPr>
                <w:rFonts w:cs="仿宋"/>
              </w:rPr>
            </w:pPr>
            <w:r>
              <w:rPr>
                <w:rFonts w:hint="eastAsia" w:cs="仿宋"/>
              </w:rPr>
              <w:t>地址</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1A4C4465">
            <w:pPr>
              <w:topLinePunct/>
              <w:spacing w:line="360" w:lineRule="auto"/>
              <w:jc w:val="center"/>
              <w:rPr>
                <w:rFonts w:cs="仿宋"/>
              </w:rPr>
            </w:pPr>
          </w:p>
        </w:tc>
      </w:tr>
      <w:tr w14:paraId="698E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D9D25">
            <w:pPr>
              <w:spacing w:line="360" w:lineRule="auto"/>
              <w:rPr>
                <w:rFonts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9EC701D">
            <w:pPr>
              <w:topLinePunct/>
              <w:adjustRightInd w:val="0"/>
              <w:snapToGrid w:val="0"/>
              <w:spacing w:line="360" w:lineRule="auto"/>
              <w:jc w:val="center"/>
              <w:rPr>
                <w:rFonts w:cs="仿宋"/>
              </w:rPr>
            </w:pPr>
            <w:r>
              <w:rPr>
                <w:rFonts w:hint="eastAsia" w:cs="仿宋"/>
              </w:rPr>
              <w:t>年生产能力</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7A3A4534">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A79E125">
            <w:pPr>
              <w:topLinePunct/>
              <w:spacing w:line="360" w:lineRule="auto"/>
              <w:ind w:left="-120" w:leftChars="-50" w:right="-120" w:rightChars="-50"/>
              <w:jc w:val="center"/>
              <w:rPr>
                <w:rFonts w:cs="仿宋"/>
              </w:rPr>
            </w:pPr>
            <w:r>
              <w:rPr>
                <w:rFonts w:hint="eastAsia" w:cs="仿宋"/>
              </w:rPr>
              <w:t>职工人数</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601E989B">
            <w:pPr>
              <w:topLinePunct/>
              <w:spacing w:line="360" w:lineRule="auto"/>
              <w:jc w:val="center"/>
              <w:rPr>
                <w:rFonts w:cs="仿宋"/>
              </w:rPr>
            </w:pPr>
          </w:p>
        </w:tc>
      </w:tr>
      <w:tr w14:paraId="14A1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933B2">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97ECE">
            <w:pPr>
              <w:topLinePunct/>
              <w:spacing w:line="360" w:lineRule="auto"/>
              <w:jc w:val="center"/>
              <w:rPr>
                <w:rFonts w:cs="仿宋"/>
              </w:rPr>
            </w:pPr>
            <w:r>
              <w:rPr>
                <w:rFonts w:hint="eastAsia" w:cs="仿宋"/>
              </w:rPr>
              <w:t>需外购的</w:t>
            </w:r>
          </w:p>
          <w:p w14:paraId="37E3BAD0">
            <w:pPr>
              <w:topLinePunct/>
              <w:spacing w:line="360" w:lineRule="auto"/>
              <w:ind w:left="-122" w:leftChars="-51" w:right="-146" w:rightChars="-61"/>
              <w:jc w:val="center"/>
              <w:rPr>
                <w:rFonts w:cs="仿宋"/>
              </w:rPr>
            </w:pPr>
            <w:r>
              <w:rPr>
                <w:rFonts w:hint="eastAsia" w:cs="仿宋"/>
              </w:rPr>
              <w:t>主要零部件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D1C6D7">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7635B6E6">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3C4DDD54">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7BE11E79">
            <w:pPr>
              <w:topLinePunct/>
              <w:spacing w:line="360" w:lineRule="auto"/>
              <w:jc w:val="center"/>
              <w:rPr>
                <w:rFonts w:cs="仿宋"/>
              </w:rPr>
            </w:pPr>
          </w:p>
        </w:tc>
      </w:tr>
      <w:tr w14:paraId="35F5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6ACAC">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FFE76">
            <w:pPr>
              <w:spacing w:line="360" w:lineRule="auto"/>
              <w:rPr>
                <w:rFonts w:cs="仿宋"/>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B3C11">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67936E2D">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1E51F645">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7AC20DD2">
            <w:pPr>
              <w:topLinePunct/>
              <w:spacing w:line="360" w:lineRule="auto"/>
              <w:jc w:val="center"/>
              <w:rPr>
                <w:rFonts w:cs="仿宋"/>
              </w:rPr>
            </w:pPr>
          </w:p>
        </w:tc>
      </w:tr>
      <w:tr w14:paraId="5C4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72C2D">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2CB55">
            <w:pPr>
              <w:topLinePunct/>
              <w:spacing w:line="360" w:lineRule="auto"/>
              <w:jc w:val="center"/>
              <w:rPr>
                <w:rFonts w:cs="仿宋"/>
              </w:rPr>
            </w:pPr>
            <w:r>
              <w:rPr>
                <w:rFonts w:hint="eastAsia" w:cs="仿宋"/>
              </w:rPr>
              <w:t>需外购的</w:t>
            </w:r>
          </w:p>
          <w:p w14:paraId="2FBF96A6">
            <w:pPr>
              <w:topLinePunct/>
              <w:spacing w:line="360" w:lineRule="auto"/>
              <w:jc w:val="center"/>
              <w:rPr>
                <w:rFonts w:cs="仿宋"/>
              </w:rPr>
            </w:pPr>
            <w:r>
              <w:rPr>
                <w:rFonts w:hint="eastAsia" w:cs="仿宋"/>
              </w:rPr>
              <w:t>易损件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D5D1E7">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5CE21376">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737A5B2C">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6326AE84">
            <w:pPr>
              <w:topLinePunct/>
              <w:spacing w:line="360" w:lineRule="auto"/>
              <w:jc w:val="center"/>
              <w:rPr>
                <w:rFonts w:cs="仿宋"/>
              </w:rPr>
            </w:pPr>
          </w:p>
        </w:tc>
      </w:tr>
      <w:tr w14:paraId="62EF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F40C1">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AFCEB">
            <w:pPr>
              <w:spacing w:line="360" w:lineRule="auto"/>
              <w:rPr>
                <w:rFonts w:cs="仿宋"/>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CBE975">
            <w:pPr>
              <w:topLinePunct/>
              <w:spacing w:line="360" w:lineRule="auto"/>
              <w:jc w:val="center"/>
              <w:rPr>
                <w:rFonts w:cs="仿宋"/>
              </w:rPr>
            </w:pPr>
            <w:r>
              <w:rPr>
                <w:rFonts w:hint="eastAsia"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4E6FA670">
            <w:pPr>
              <w:topLinePunct/>
              <w:spacing w:line="360" w:lineRule="auto"/>
              <w:jc w:val="center"/>
              <w:rPr>
                <w:rFonts w:cs="仿宋"/>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39437718">
            <w:pPr>
              <w:topLinePunct/>
              <w:spacing w:line="360" w:lineRule="auto"/>
              <w:jc w:val="center"/>
              <w:rPr>
                <w:rFonts w:cs="仿宋"/>
              </w:rPr>
            </w:pPr>
            <w:r>
              <w:rPr>
                <w:rFonts w:hint="eastAsia" w:cs="仿宋"/>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4BC8141C">
            <w:pPr>
              <w:topLinePunct/>
              <w:spacing w:line="360" w:lineRule="auto"/>
              <w:jc w:val="center"/>
              <w:rPr>
                <w:rFonts w:cs="仿宋"/>
              </w:rPr>
            </w:pPr>
          </w:p>
        </w:tc>
      </w:tr>
      <w:tr w14:paraId="6A18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255DB">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14194">
            <w:pPr>
              <w:topLinePunct/>
              <w:spacing w:line="360" w:lineRule="auto"/>
              <w:jc w:val="center"/>
              <w:rPr>
                <w:rFonts w:cs="仿宋"/>
              </w:rPr>
            </w:pPr>
            <w:r>
              <w:rPr>
                <w:rFonts w:hint="eastAsia" w:cs="仿宋"/>
              </w:rPr>
              <w:t>近3年</w:t>
            </w:r>
          </w:p>
          <w:p w14:paraId="10C4C7A1">
            <w:pPr>
              <w:topLinePunct/>
              <w:spacing w:line="360" w:lineRule="auto"/>
              <w:jc w:val="center"/>
              <w:rPr>
                <w:rFonts w:cs="仿宋"/>
              </w:rPr>
            </w:pPr>
            <w:r>
              <w:rPr>
                <w:rFonts w:hint="eastAsia" w:cs="仿宋"/>
              </w:rPr>
              <w:t>营业额</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05F536C2">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72568238">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0CFD6330">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637E138F">
            <w:pPr>
              <w:topLinePunct/>
              <w:spacing w:line="360" w:lineRule="auto"/>
              <w:jc w:val="center"/>
              <w:rPr>
                <w:rFonts w:cs="仿宋"/>
              </w:rPr>
            </w:pPr>
          </w:p>
        </w:tc>
      </w:tr>
      <w:tr w14:paraId="61C1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AD841">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B6650">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2CAFFA98">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109DE6CF">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29D205B2">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4CC364A0">
            <w:pPr>
              <w:topLinePunct/>
              <w:spacing w:line="360" w:lineRule="auto"/>
              <w:jc w:val="center"/>
              <w:rPr>
                <w:rFonts w:cs="仿宋"/>
              </w:rPr>
            </w:pPr>
          </w:p>
        </w:tc>
      </w:tr>
      <w:tr w14:paraId="12AD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48500">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EA716">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48CD5A44">
            <w:pPr>
              <w:topLinePunct/>
              <w:spacing w:line="360" w:lineRule="auto"/>
              <w:jc w:val="center"/>
              <w:rPr>
                <w:rFonts w:cs="仿宋"/>
              </w:rPr>
            </w:pPr>
            <w:r>
              <w:rPr>
                <w:rFonts w:hint="eastAsia" w:cs="仿宋"/>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66970BB8">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0D138466">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53D49AED">
            <w:pPr>
              <w:topLinePunct/>
              <w:spacing w:line="360" w:lineRule="auto"/>
              <w:jc w:val="center"/>
              <w:rPr>
                <w:rFonts w:cs="仿宋"/>
              </w:rPr>
            </w:pPr>
          </w:p>
        </w:tc>
      </w:tr>
      <w:tr w14:paraId="3848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3E4F5">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0C91D">
            <w:pPr>
              <w:topLinePunct/>
              <w:adjustRightInd w:val="0"/>
              <w:snapToGrid w:val="0"/>
              <w:spacing w:line="360" w:lineRule="auto"/>
              <w:ind w:left="-120" w:leftChars="-50" w:right="-120" w:rightChars="-50"/>
              <w:jc w:val="center"/>
              <w:rPr>
                <w:rFonts w:cs="仿宋"/>
              </w:rPr>
            </w:pPr>
            <w:r>
              <w:rPr>
                <w:rFonts w:hint="eastAsia" w:cs="仿宋"/>
              </w:rPr>
              <w:t>近期资产</w:t>
            </w:r>
          </w:p>
          <w:p w14:paraId="5D6FB18A">
            <w:pPr>
              <w:topLinePunct/>
              <w:adjustRightInd w:val="0"/>
              <w:snapToGrid w:val="0"/>
              <w:spacing w:line="360" w:lineRule="auto"/>
              <w:jc w:val="center"/>
              <w:rPr>
                <w:rFonts w:cs="仿宋"/>
              </w:rPr>
            </w:pPr>
            <w:r>
              <w:rPr>
                <w:rFonts w:hint="eastAsia" w:cs="仿宋"/>
              </w:rPr>
              <w:t>负债表</w:t>
            </w:r>
          </w:p>
          <w:p w14:paraId="56B7698A">
            <w:pPr>
              <w:topLinePunct/>
              <w:adjustRightInd w:val="0"/>
              <w:snapToGrid w:val="0"/>
              <w:spacing w:line="360" w:lineRule="auto"/>
              <w:ind w:right="-146" w:rightChars="-61"/>
              <w:jc w:val="center"/>
              <w:rPr>
                <w:rFonts w:cs="仿宋"/>
              </w:rPr>
            </w:pPr>
            <w:r>
              <w:rPr>
                <w:rFonts w:hint="eastAsia" w:cs="仿宋"/>
              </w:rPr>
              <w:t>到年月日止</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70A9A631">
            <w:pPr>
              <w:topLinePunct/>
              <w:spacing w:line="360" w:lineRule="auto"/>
              <w:ind w:left="-120" w:leftChars="-50" w:right="-120" w:rightChars="-50"/>
              <w:jc w:val="center"/>
              <w:rPr>
                <w:rFonts w:cs="仿宋"/>
              </w:rPr>
            </w:pPr>
            <w:r>
              <w:rPr>
                <w:rFonts w:hint="eastAsia" w:cs="仿宋"/>
              </w:rPr>
              <w:t>固定资产</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76404055">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6550C12D">
            <w:pPr>
              <w:topLinePunct/>
              <w:spacing w:line="360" w:lineRule="auto"/>
              <w:ind w:left="-120" w:leftChars="-50" w:right="-120" w:rightChars="-50"/>
              <w:jc w:val="center"/>
              <w:rPr>
                <w:rFonts w:cs="仿宋"/>
              </w:rPr>
            </w:pPr>
            <w:r>
              <w:rPr>
                <w:rFonts w:hint="eastAsia" w:cs="仿宋"/>
              </w:rPr>
              <w:t>流动资产</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6452967A">
            <w:pPr>
              <w:topLinePunct/>
              <w:spacing w:line="360" w:lineRule="auto"/>
              <w:ind w:left="-120" w:leftChars="-50" w:right="-120" w:rightChars="-50"/>
              <w:jc w:val="center"/>
              <w:rPr>
                <w:rFonts w:cs="仿宋"/>
              </w:rPr>
            </w:pPr>
          </w:p>
        </w:tc>
      </w:tr>
      <w:tr w14:paraId="092E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5DDB7">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9ED58">
            <w:pPr>
              <w:spacing w:line="360" w:lineRule="auto"/>
              <w:rPr>
                <w:rFonts w:cs="仿宋"/>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2A03BA1D">
            <w:pPr>
              <w:topLinePunct/>
              <w:spacing w:line="360" w:lineRule="auto"/>
              <w:ind w:left="-120" w:leftChars="-50" w:right="-120" w:rightChars="-50"/>
              <w:jc w:val="center"/>
              <w:rPr>
                <w:rFonts w:cs="仿宋"/>
              </w:rPr>
            </w:pPr>
            <w:r>
              <w:rPr>
                <w:rFonts w:hint="eastAsia" w:cs="仿宋"/>
              </w:rPr>
              <w:t>长期负债</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28D9F03B">
            <w:pPr>
              <w:topLinePunct/>
              <w:spacing w:line="360" w:lineRule="auto"/>
              <w:jc w:val="center"/>
              <w:rPr>
                <w:rFonts w:cs="仿宋"/>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14:paraId="40C8A162">
            <w:pPr>
              <w:topLinePunct/>
              <w:spacing w:line="360" w:lineRule="auto"/>
              <w:ind w:left="-120" w:leftChars="-50" w:right="-120" w:rightChars="-50"/>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37253FFE">
            <w:pPr>
              <w:topLinePunct/>
              <w:spacing w:line="360" w:lineRule="auto"/>
              <w:ind w:left="-190" w:leftChars="-79" w:right="-122" w:rightChars="-51"/>
              <w:jc w:val="center"/>
              <w:rPr>
                <w:rFonts w:cs="仿宋"/>
              </w:rPr>
            </w:pPr>
            <w:r>
              <w:rPr>
                <w:rFonts w:hint="eastAsia" w:cs="仿宋"/>
              </w:rPr>
              <w:t>流动负债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513A64F3">
            <w:pPr>
              <w:topLinePunct/>
              <w:spacing w:line="360" w:lineRule="auto"/>
              <w:ind w:left="-120" w:leftChars="-50" w:right="-120" w:rightChars="-50"/>
              <w:jc w:val="center"/>
              <w:rPr>
                <w:rFonts w:cs="仿宋"/>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0E503A9">
            <w:pPr>
              <w:topLinePunct/>
              <w:spacing w:line="360" w:lineRule="auto"/>
              <w:jc w:val="center"/>
              <w:rPr>
                <w:rFonts w:cs="仿宋"/>
              </w:rPr>
            </w:pPr>
          </w:p>
        </w:tc>
      </w:tr>
      <w:tr w14:paraId="3F5C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20229">
            <w:pPr>
              <w:spacing w:line="360" w:lineRule="auto"/>
              <w:rPr>
                <w:rFonts w:cs="仿宋"/>
              </w:rPr>
            </w:pP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17BCA4E3">
            <w:pPr>
              <w:topLinePunct/>
              <w:spacing w:line="360" w:lineRule="auto"/>
              <w:rPr>
                <w:rFonts w:cs="仿宋"/>
              </w:rPr>
            </w:pPr>
            <w:r>
              <w:rPr>
                <w:rFonts w:hint="eastAsia" w:cs="仿宋"/>
              </w:rPr>
              <w:t>经营范围：</w:t>
            </w:r>
          </w:p>
        </w:tc>
      </w:tr>
    </w:tbl>
    <w:p w14:paraId="165D5165">
      <w:pPr>
        <w:topLinePunct/>
        <w:spacing w:line="360" w:lineRule="auto"/>
        <w:ind w:firstLine="480" w:firstLineChars="200"/>
        <w:rPr>
          <w:rFonts w:cs="仿宋"/>
        </w:rPr>
      </w:pPr>
      <w:r>
        <w:rPr>
          <w:rFonts w:hint="eastAsia" w:cs="仿宋"/>
        </w:rPr>
        <w:t>注：本表可</w:t>
      </w:r>
      <w:r>
        <w:rPr>
          <w:rFonts w:hint="eastAsia" w:cs="仿宋"/>
          <w:lang w:val="en-US" w:eastAsia="zh-CN"/>
        </w:rPr>
        <w:t>根据实际修改、</w:t>
      </w:r>
      <w:r>
        <w:rPr>
          <w:rFonts w:hint="eastAsia" w:cs="仿宋"/>
        </w:rPr>
        <w:t>增加</w:t>
      </w:r>
      <w:r>
        <w:rPr>
          <w:rFonts w:hint="eastAsia" w:cs="仿宋"/>
          <w:lang w:val="en-US" w:eastAsia="zh-CN"/>
        </w:rPr>
        <w:t>或</w:t>
      </w:r>
      <w:r>
        <w:rPr>
          <w:rFonts w:hint="eastAsia" w:cs="仿宋"/>
        </w:rPr>
        <w:t>扩展。</w:t>
      </w:r>
    </w:p>
    <w:p w14:paraId="65BBB59B">
      <w:pPr>
        <w:topLinePunct/>
        <w:spacing w:line="360" w:lineRule="auto"/>
        <w:ind w:firstLine="480" w:firstLineChars="200"/>
        <w:rPr>
          <w:rFonts w:ascii="仿宋" w:hAnsi="仿宋" w:eastAsia="仿宋"/>
          <w:sz w:val="30"/>
          <w:szCs w:val="30"/>
        </w:rPr>
      </w:pPr>
      <w:r>
        <w:rPr>
          <w:rFonts w:hint="eastAsia" w:cs="仿宋"/>
        </w:rPr>
        <w:t>附：</w:t>
      </w:r>
      <w:r>
        <w:rPr>
          <w:rFonts w:hint="eastAsia"/>
        </w:rPr>
        <w:t>包括但不限于：营业执照、资质证书、体系认证、资信等级、人员资格证书、业绩合同、获奖证书等的复印件，加盖公章。</w:t>
      </w:r>
      <w:bookmarkStart w:id="188" w:name="_Toc426317296"/>
      <w:r>
        <w:rPr>
          <w:rFonts w:hint="eastAsia" w:cs="仿宋"/>
          <w:bCs/>
        </w:rPr>
        <w:br w:type="page"/>
      </w:r>
      <w:r>
        <w:rPr>
          <w:rFonts w:hint="eastAsia" w:cs="仿宋"/>
          <w:bCs/>
        </w:rPr>
        <w:t>5.2近3年财务状况表</w:t>
      </w:r>
    </w:p>
    <w:p w14:paraId="40567D2E">
      <w:pPr>
        <w:spacing w:line="360" w:lineRule="auto"/>
        <w:ind w:firstLine="480" w:firstLineChars="200"/>
        <w:rPr>
          <w:rFonts w:hint="eastAsia" w:cs="仿宋"/>
          <w:bCs/>
        </w:rPr>
      </w:pPr>
      <w:r>
        <w:rPr>
          <w:rFonts w:hint="eastAsia" w:cs="仿宋"/>
          <w:bCs/>
        </w:rPr>
        <w:t>投标人应根据投标人须知第3.5.2项的要求在本表后附相关证明材料。</w:t>
      </w:r>
    </w:p>
    <w:p w14:paraId="3344270B">
      <w:pPr>
        <w:spacing w:line="360" w:lineRule="auto"/>
        <w:ind w:firstLine="480" w:firstLineChars="200"/>
        <w:rPr>
          <w:rFonts w:hint="eastAsia" w:cs="仿宋"/>
          <w:bCs/>
        </w:rPr>
      </w:pPr>
      <w:r>
        <w:rPr>
          <w:rFonts w:hint="eastAsia" w:cs="仿宋"/>
          <w:bCs/>
        </w:rPr>
        <w:t>对于可以现货供应的标准设备（非定制设备)，投标人的财务状况一般不宜作为审查投标人履约能力的因素。</w:t>
      </w:r>
    </w:p>
    <w:p w14:paraId="713F64D9">
      <w:pPr>
        <w:spacing w:line="360" w:lineRule="auto"/>
        <w:rPr>
          <w:rFonts w:cs="仿宋"/>
          <w:bCs/>
        </w:rPr>
      </w:pPr>
    </w:p>
    <w:p w14:paraId="7FB0204D">
      <w:pPr>
        <w:spacing w:line="360" w:lineRule="auto"/>
        <w:rPr>
          <w:rStyle w:val="96"/>
          <w:rFonts w:cs="仿宋"/>
          <w:b w:val="0"/>
        </w:rPr>
      </w:pPr>
      <w:r>
        <w:rPr>
          <w:rFonts w:hint="eastAsia" w:cs="仿宋"/>
          <w:bCs/>
        </w:rPr>
        <w:t>5.3符合资格条件的业绩汇总表</w:t>
      </w:r>
      <w:bookmarkEnd w:id="188"/>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329F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1075AB22">
            <w:pPr>
              <w:spacing w:line="360" w:lineRule="auto"/>
              <w:jc w:val="center"/>
              <w:rPr>
                <w:rFonts w:cs="仿宋"/>
              </w:rPr>
            </w:pPr>
            <w:r>
              <w:rPr>
                <w:rFonts w:hint="eastAsia" w:cs="仿宋"/>
              </w:rPr>
              <w:t>序号</w:t>
            </w:r>
          </w:p>
        </w:tc>
        <w:tc>
          <w:tcPr>
            <w:tcW w:w="2036" w:type="dxa"/>
            <w:noWrap w:val="0"/>
            <w:vAlign w:val="center"/>
          </w:tcPr>
          <w:p w14:paraId="1A5895DF">
            <w:pPr>
              <w:spacing w:line="360" w:lineRule="auto"/>
              <w:jc w:val="center"/>
              <w:rPr>
                <w:rFonts w:cs="仿宋"/>
              </w:rPr>
            </w:pPr>
            <w:bookmarkStart w:id="189" w:name="_Toc351401531"/>
            <w:bookmarkStart w:id="190" w:name="_Toc351401530"/>
            <w:r>
              <w:rPr>
                <w:rFonts w:hint="eastAsia" w:cs="仿宋"/>
              </w:rPr>
              <w:t>项目业主</w:t>
            </w:r>
            <w:bookmarkEnd w:id="189"/>
            <w:r>
              <w:rPr>
                <w:rFonts w:hint="eastAsia" w:cs="仿宋"/>
              </w:rPr>
              <w:t>名称</w:t>
            </w:r>
            <w:bookmarkEnd w:id="190"/>
          </w:p>
        </w:tc>
        <w:tc>
          <w:tcPr>
            <w:tcW w:w="3053" w:type="dxa"/>
            <w:noWrap w:val="0"/>
            <w:vAlign w:val="center"/>
          </w:tcPr>
          <w:p w14:paraId="673DBEF8">
            <w:pPr>
              <w:spacing w:line="360" w:lineRule="auto"/>
              <w:jc w:val="center"/>
              <w:rPr>
                <w:rFonts w:hint="eastAsia" w:eastAsia="宋体" w:cs="仿宋"/>
                <w:lang w:eastAsia="zh-CN"/>
              </w:rPr>
            </w:pPr>
            <w:r>
              <w:rPr>
                <w:rFonts w:hint="eastAsia" w:cs="仿宋"/>
                <w:lang w:val="en-US" w:eastAsia="zh-CN"/>
              </w:rPr>
              <w:t>合同名称</w:t>
            </w:r>
          </w:p>
        </w:tc>
        <w:tc>
          <w:tcPr>
            <w:tcW w:w="1276" w:type="dxa"/>
            <w:noWrap w:val="0"/>
            <w:vAlign w:val="center"/>
          </w:tcPr>
          <w:p w14:paraId="703A4D94">
            <w:pPr>
              <w:spacing w:line="360" w:lineRule="auto"/>
              <w:jc w:val="center"/>
              <w:rPr>
                <w:rFonts w:cs="仿宋"/>
              </w:rPr>
            </w:pPr>
          </w:p>
        </w:tc>
        <w:tc>
          <w:tcPr>
            <w:tcW w:w="1701" w:type="dxa"/>
            <w:noWrap w:val="0"/>
            <w:vAlign w:val="center"/>
          </w:tcPr>
          <w:p w14:paraId="38616793">
            <w:pPr>
              <w:spacing w:line="360" w:lineRule="auto"/>
              <w:jc w:val="center"/>
              <w:rPr>
                <w:rFonts w:cs="仿宋"/>
              </w:rPr>
            </w:pPr>
            <w:r>
              <w:rPr>
                <w:rFonts w:hint="eastAsia" w:cs="仿宋"/>
              </w:rPr>
              <w:t>签订日期</w:t>
            </w:r>
          </w:p>
          <w:p w14:paraId="30DDDA9F">
            <w:pPr>
              <w:spacing w:line="360" w:lineRule="auto"/>
              <w:jc w:val="center"/>
              <w:rPr>
                <w:rFonts w:cs="仿宋"/>
              </w:rPr>
            </w:pPr>
            <w:r>
              <w:rPr>
                <w:rFonts w:hint="eastAsia" w:cs="仿宋"/>
              </w:rPr>
              <w:t>（年月）</w:t>
            </w:r>
          </w:p>
        </w:tc>
      </w:tr>
      <w:tr w14:paraId="6BF8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31912F0A">
            <w:pPr>
              <w:spacing w:line="360" w:lineRule="auto"/>
              <w:jc w:val="center"/>
              <w:rPr>
                <w:rFonts w:cs="仿宋"/>
              </w:rPr>
            </w:pPr>
            <w:r>
              <w:rPr>
                <w:rFonts w:hint="eastAsia" w:cs="仿宋"/>
              </w:rPr>
              <w:t>1</w:t>
            </w:r>
          </w:p>
        </w:tc>
        <w:tc>
          <w:tcPr>
            <w:tcW w:w="2036" w:type="dxa"/>
            <w:noWrap w:val="0"/>
            <w:vAlign w:val="center"/>
          </w:tcPr>
          <w:p w14:paraId="2BBBF52B">
            <w:pPr>
              <w:pStyle w:val="70"/>
              <w:spacing w:beforeLines="0" w:line="360" w:lineRule="auto"/>
              <w:rPr>
                <w:rFonts w:ascii="宋体" w:hAnsi="宋体" w:cs="仿宋"/>
                <w:b w:val="0"/>
                <w:sz w:val="24"/>
                <w:szCs w:val="24"/>
                <w:lang w:val="en-US" w:eastAsia="zh-CN"/>
              </w:rPr>
            </w:pPr>
          </w:p>
        </w:tc>
        <w:tc>
          <w:tcPr>
            <w:tcW w:w="3053" w:type="dxa"/>
            <w:noWrap w:val="0"/>
            <w:vAlign w:val="center"/>
          </w:tcPr>
          <w:p w14:paraId="55154B7C">
            <w:pPr>
              <w:pStyle w:val="70"/>
              <w:spacing w:beforeLines="0" w:line="360" w:lineRule="auto"/>
              <w:rPr>
                <w:rFonts w:ascii="宋体" w:hAnsi="宋体" w:cs="仿宋"/>
                <w:b w:val="0"/>
                <w:sz w:val="24"/>
                <w:szCs w:val="24"/>
                <w:lang w:val="en-US" w:eastAsia="zh-CN"/>
              </w:rPr>
            </w:pPr>
          </w:p>
        </w:tc>
        <w:tc>
          <w:tcPr>
            <w:tcW w:w="1276" w:type="dxa"/>
            <w:noWrap w:val="0"/>
            <w:vAlign w:val="center"/>
          </w:tcPr>
          <w:p w14:paraId="2AC87430">
            <w:pPr>
              <w:pStyle w:val="70"/>
              <w:spacing w:beforeLines="0" w:line="360" w:lineRule="auto"/>
              <w:rPr>
                <w:rFonts w:ascii="宋体" w:hAnsi="宋体" w:cs="仿宋"/>
                <w:b w:val="0"/>
                <w:sz w:val="24"/>
                <w:szCs w:val="24"/>
                <w:lang w:val="en-US" w:eastAsia="zh-CN"/>
              </w:rPr>
            </w:pPr>
          </w:p>
        </w:tc>
        <w:tc>
          <w:tcPr>
            <w:tcW w:w="1701" w:type="dxa"/>
            <w:noWrap w:val="0"/>
            <w:vAlign w:val="center"/>
          </w:tcPr>
          <w:p w14:paraId="2225E2F4">
            <w:pPr>
              <w:pStyle w:val="70"/>
              <w:spacing w:beforeLines="0" w:line="360" w:lineRule="auto"/>
              <w:rPr>
                <w:rFonts w:ascii="宋体" w:hAnsi="宋体" w:cs="仿宋"/>
                <w:b w:val="0"/>
                <w:sz w:val="24"/>
                <w:szCs w:val="24"/>
                <w:lang w:val="en-US" w:eastAsia="zh-CN"/>
              </w:rPr>
            </w:pPr>
          </w:p>
        </w:tc>
      </w:tr>
      <w:tr w14:paraId="22F55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7EDC5036">
            <w:pPr>
              <w:spacing w:line="360" w:lineRule="auto"/>
              <w:jc w:val="center"/>
              <w:rPr>
                <w:rFonts w:cs="仿宋"/>
              </w:rPr>
            </w:pPr>
            <w:r>
              <w:rPr>
                <w:rFonts w:hint="eastAsia" w:cs="仿宋"/>
              </w:rPr>
              <w:t>2</w:t>
            </w:r>
          </w:p>
        </w:tc>
        <w:tc>
          <w:tcPr>
            <w:tcW w:w="2036" w:type="dxa"/>
            <w:noWrap w:val="0"/>
            <w:vAlign w:val="center"/>
          </w:tcPr>
          <w:p w14:paraId="614DF01F">
            <w:pPr>
              <w:pStyle w:val="70"/>
              <w:spacing w:beforeLines="0" w:line="360" w:lineRule="auto"/>
              <w:rPr>
                <w:rFonts w:ascii="宋体" w:hAnsi="宋体" w:cs="仿宋"/>
                <w:b w:val="0"/>
                <w:sz w:val="24"/>
                <w:szCs w:val="24"/>
                <w:lang w:val="en-US" w:eastAsia="zh-CN"/>
              </w:rPr>
            </w:pPr>
          </w:p>
        </w:tc>
        <w:tc>
          <w:tcPr>
            <w:tcW w:w="3053" w:type="dxa"/>
            <w:noWrap w:val="0"/>
            <w:vAlign w:val="center"/>
          </w:tcPr>
          <w:p w14:paraId="7BD58529">
            <w:pPr>
              <w:pStyle w:val="70"/>
              <w:spacing w:beforeLines="0" w:line="360" w:lineRule="auto"/>
              <w:rPr>
                <w:rFonts w:ascii="宋体" w:hAnsi="宋体" w:cs="仿宋"/>
                <w:b w:val="0"/>
                <w:sz w:val="24"/>
                <w:szCs w:val="24"/>
                <w:lang w:val="en-US" w:eastAsia="zh-CN"/>
              </w:rPr>
            </w:pPr>
          </w:p>
        </w:tc>
        <w:tc>
          <w:tcPr>
            <w:tcW w:w="1276" w:type="dxa"/>
            <w:noWrap w:val="0"/>
            <w:vAlign w:val="center"/>
          </w:tcPr>
          <w:p w14:paraId="3BB3C8FC">
            <w:pPr>
              <w:pStyle w:val="70"/>
              <w:spacing w:beforeLines="0" w:line="360" w:lineRule="auto"/>
              <w:rPr>
                <w:rFonts w:ascii="宋体" w:hAnsi="宋体" w:cs="仿宋"/>
                <w:b w:val="0"/>
                <w:sz w:val="24"/>
                <w:szCs w:val="24"/>
                <w:lang w:val="en-US" w:eastAsia="zh-CN"/>
              </w:rPr>
            </w:pPr>
          </w:p>
        </w:tc>
        <w:tc>
          <w:tcPr>
            <w:tcW w:w="1701" w:type="dxa"/>
            <w:noWrap w:val="0"/>
            <w:vAlign w:val="center"/>
          </w:tcPr>
          <w:p w14:paraId="0509E2D0">
            <w:pPr>
              <w:pStyle w:val="70"/>
              <w:spacing w:beforeLines="0" w:line="360" w:lineRule="auto"/>
              <w:rPr>
                <w:rFonts w:ascii="宋体" w:hAnsi="宋体" w:cs="仿宋"/>
                <w:b w:val="0"/>
                <w:sz w:val="24"/>
                <w:szCs w:val="24"/>
                <w:lang w:val="en-US" w:eastAsia="zh-CN"/>
              </w:rPr>
            </w:pPr>
          </w:p>
        </w:tc>
      </w:tr>
      <w:tr w14:paraId="57F6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4555468A">
            <w:pPr>
              <w:spacing w:line="360" w:lineRule="auto"/>
              <w:jc w:val="center"/>
              <w:rPr>
                <w:rFonts w:cs="仿宋"/>
              </w:rPr>
            </w:pPr>
            <w:r>
              <w:rPr>
                <w:rFonts w:hint="eastAsia" w:cs="仿宋"/>
              </w:rPr>
              <w:t>3</w:t>
            </w:r>
          </w:p>
        </w:tc>
        <w:tc>
          <w:tcPr>
            <w:tcW w:w="2036" w:type="dxa"/>
            <w:noWrap w:val="0"/>
            <w:vAlign w:val="center"/>
          </w:tcPr>
          <w:p w14:paraId="2C1EAB24">
            <w:pPr>
              <w:pStyle w:val="70"/>
              <w:spacing w:beforeLines="0" w:line="360" w:lineRule="auto"/>
              <w:rPr>
                <w:rFonts w:ascii="宋体" w:hAnsi="宋体" w:cs="仿宋"/>
                <w:b w:val="0"/>
                <w:sz w:val="24"/>
                <w:szCs w:val="24"/>
                <w:lang w:val="en-US" w:eastAsia="zh-CN"/>
              </w:rPr>
            </w:pPr>
          </w:p>
        </w:tc>
        <w:tc>
          <w:tcPr>
            <w:tcW w:w="3053" w:type="dxa"/>
            <w:noWrap w:val="0"/>
            <w:vAlign w:val="center"/>
          </w:tcPr>
          <w:p w14:paraId="4F666C8D">
            <w:pPr>
              <w:pStyle w:val="70"/>
              <w:spacing w:beforeLines="0" w:line="360" w:lineRule="auto"/>
              <w:rPr>
                <w:rFonts w:ascii="宋体" w:hAnsi="宋体" w:cs="仿宋"/>
                <w:b w:val="0"/>
                <w:sz w:val="24"/>
                <w:szCs w:val="24"/>
                <w:lang w:val="en-US" w:eastAsia="zh-CN"/>
              </w:rPr>
            </w:pPr>
          </w:p>
        </w:tc>
        <w:tc>
          <w:tcPr>
            <w:tcW w:w="1276" w:type="dxa"/>
            <w:noWrap w:val="0"/>
            <w:vAlign w:val="center"/>
          </w:tcPr>
          <w:p w14:paraId="162C5115">
            <w:pPr>
              <w:pStyle w:val="70"/>
              <w:spacing w:beforeLines="0" w:line="360" w:lineRule="auto"/>
              <w:rPr>
                <w:rFonts w:ascii="宋体" w:hAnsi="宋体" w:cs="仿宋"/>
                <w:b w:val="0"/>
                <w:sz w:val="24"/>
                <w:szCs w:val="24"/>
                <w:lang w:val="en-US" w:eastAsia="zh-CN"/>
              </w:rPr>
            </w:pPr>
          </w:p>
        </w:tc>
        <w:tc>
          <w:tcPr>
            <w:tcW w:w="1701" w:type="dxa"/>
            <w:noWrap w:val="0"/>
            <w:vAlign w:val="center"/>
          </w:tcPr>
          <w:p w14:paraId="3A0838EF">
            <w:pPr>
              <w:pStyle w:val="70"/>
              <w:spacing w:beforeLines="0" w:line="360" w:lineRule="auto"/>
              <w:rPr>
                <w:rFonts w:ascii="宋体" w:hAnsi="宋体" w:cs="仿宋"/>
                <w:b w:val="0"/>
                <w:sz w:val="24"/>
                <w:szCs w:val="24"/>
                <w:lang w:val="en-US" w:eastAsia="zh-CN"/>
              </w:rPr>
            </w:pPr>
          </w:p>
        </w:tc>
      </w:tr>
      <w:tr w14:paraId="627F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1A52C2D5">
            <w:pPr>
              <w:spacing w:line="360" w:lineRule="auto"/>
              <w:jc w:val="center"/>
              <w:rPr>
                <w:rFonts w:cs="仿宋"/>
              </w:rPr>
            </w:pPr>
            <w:r>
              <w:rPr>
                <w:rFonts w:hint="eastAsia" w:cs="仿宋"/>
              </w:rPr>
              <w:t>……</w:t>
            </w:r>
          </w:p>
        </w:tc>
        <w:tc>
          <w:tcPr>
            <w:tcW w:w="2036" w:type="dxa"/>
            <w:noWrap w:val="0"/>
            <w:vAlign w:val="center"/>
          </w:tcPr>
          <w:p w14:paraId="44447E48">
            <w:pPr>
              <w:pStyle w:val="70"/>
              <w:spacing w:beforeLines="0" w:line="360" w:lineRule="auto"/>
              <w:rPr>
                <w:rFonts w:ascii="宋体" w:hAnsi="宋体" w:cs="仿宋"/>
                <w:b w:val="0"/>
                <w:sz w:val="24"/>
                <w:szCs w:val="24"/>
                <w:lang w:val="en-US" w:eastAsia="zh-CN"/>
              </w:rPr>
            </w:pPr>
          </w:p>
        </w:tc>
        <w:tc>
          <w:tcPr>
            <w:tcW w:w="3053" w:type="dxa"/>
            <w:noWrap w:val="0"/>
            <w:vAlign w:val="center"/>
          </w:tcPr>
          <w:p w14:paraId="4C5D5382">
            <w:pPr>
              <w:pStyle w:val="70"/>
              <w:spacing w:beforeLines="0" w:line="360" w:lineRule="auto"/>
              <w:rPr>
                <w:rFonts w:ascii="宋体" w:hAnsi="宋体" w:cs="仿宋"/>
                <w:b w:val="0"/>
                <w:sz w:val="24"/>
                <w:szCs w:val="24"/>
                <w:lang w:val="en-US" w:eastAsia="zh-CN"/>
              </w:rPr>
            </w:pPr>
          </w:p>
        </w:tc>
        <w:tc>
          <w:tcPr>
            <w:tcW w:w="1276" w:type="dxa"/>
            <w:noWrap w:val="0"/>
            <w:vAlign w:val="center"/>
          </w:tcPr>
          <w:p w14:paraId="6C8E6111">
            <w:pPr>
              <w:pStyle w:val="70"/>
              <w:spacing w:beforeLines="0" w:line="360" w:lineRule="auto"/>
              <w:rPr>
                <w:rFonts w:ascii="宋体" w:hAnsi="宋体" w:cs="仿宋"/>
                <w:b w:val="0"/>
                <w:sz w:val="24"/>
                <w:szCs w:val="24"/>
                <w:lang w:val="en-US" w:eastAsia="zh-CN"/>
              </w:rPr>
            </w:pPr>
          </w:p>
        </w:tc>
        <w:tc>
          <w:tcPr>
            <w:tcW w:w="1701" w:type="dxa"/>
            <w:noWrap w:val="0"/>
            <w:vAlign w:val="center"/>
          </w:tcPr>
          <w:p w14:paraId="4E81BEB8">
            <w:pPr>
              <w:pStyle w:val="70"/>
              <w:spacing w:beforeLines="0" w:line="360" w:lineRule="auto"/>
              <w:rPr>
                <w:rFonts w:ascii="宋体" w:hAnsi="宋体" w:cs="仿宋"/>
                <w:b w:val="0"/>
                <w:sz w:val="24"/>
                <w:szCs w:val="24"/>
                <w:lang w:val="en-US" w:eastAsia="zh-CN"/>
              </w:rPr>
            </w:pPr>
          </w:p>
        </w:tc>
      </w:tr>
    </w:tbl>
    <w:p w14:paraId="5088B650">
      <w:pPr>
        <w:topLinePunct/>
        <w:spacing w:line="360" w:lineRule="auto"/>
        <w:ind w:firstLine="482" w:firstLineChars="200"/>
        <w:rPr>
          <w:rFonts w:cs="仿宋"/>
          <w:b/>
          <w:bCs/>
        </w:rPr>
      </w:pPr>
    </w:p>
    <w:p w14:paraId="06E69962">
      <w:pPr>
        <w:topLinePunct/>
        <w:spacing w:line="360" w:lineRule="auto"/>
        <w:ind w:firstLine="482" w:firstLineChars="200"/>
        <w:rPr>
          <w:rFonts w:cs="仿宋"/>
          <w:b/>
          <w:bCs/>
        </w:rPr>
      </w:pPr>
      <w:r>
        <w:rPr>
          <w:rFonts w:hint="eastAsia" w:cs="仿宋"/>
          <w:b/>
          <w:bCs/>
        </w:rPr>
        <w:t>注：提供的业绩要附合同复印件作为证明。</w:t>
      </w:r>
    </w:p>
    <w:p w14:paraId="6B880581">
      <w:pPr>
        <w:spacing w:line="360" w:lineRule="auto"/>
        <w:rPr>
          <w:rFonts w:cs="仿宋"/>
        </w:rPr>
      </w:pPr>
    </w:p>
    <w:p w14:paraId="4E8028AA">
      <w:pPr>
        <w:spacing w:line="360" w:lineRule="auto"/>
        <w:ind w:firstLine="4200" w:firstLineChars="1750"/>
        <w:rPr>
          <w:rFonts w:cs="仿宋"/>
        </w:rPr>
      </w:pPr>
      <w:r>
        <w:rPr>
          <w:rFonts w:hint="eastAsia" w:cs="仿宋"/>
        </w:rPr>
        <w:t>投标人：（盖单位章）</w:t>
      </w:r>
    </w:p>
    <w:p w14:paraId="727CFB83">
      <w:pPr>
        <w:spacing w:line="360" w:lineRule="auto"/>
        <w:ind w:firstLine="4200" w:firstLineChars="1750"/>
        <w:rPr>
          <w:rFonts w:cs="仿宋"/>
        </w:rPr>
      </w:pPr>
      <w:r>
        <w:rPr>
          <w:rFonts w:hint="eastAsia" w:cs="仿宋"/>
        </w:rPr>
        <w:t>法定代表人或其委托代理人：（签字）</w:t>
      </w:r>
    </w:p>
    <w:p w14:paraId="395D7DCF">
      <w:pPr>
        <w:spacing w:line="360" w:lineRule="auto"/>
        <w:ind w:firstLine="4200" w:firstLineChars="1750"/>
        <w:rPr>
          <w:rFonts w:hint="eastAsia" w:cs="仿宋"/>
        </w:rPr>
      </w:pPr>
      <w:r>
        <w:rPr>
          <w:rFonts w:hint="eastAsia" w:cs="仿宋"/>
        </w:rPr>
        <w:t>年月日</w:t>
      </w:r>
    </w:p>
    <w:p w14:paraId="12A4312B">
      <w:pPr>
        <w:spacing w:line="360" w:lineRule="auto"/>
        <w:rPr>
          <w:rFonts w:hint="eastAsia" w:cs="仿宋"/>
          <w:bCs/>
        </w:rPr>
      </w:pPr>
      <w:r>
        <w:rPr>
          <w:rFonts w:hint="eastAsia" w:cs="仿宋"/>
          <w:bCs/>
        </w:rPr>
        <w:t>5.4近年发生的诉讼及仲裁情况</w:t>
      </w:r>
    </w:p>
    <w:p w14:paraId="10598115">
      <w:pPr>
        <w:spacing w:line="360" w:lineRule="auto"/>
        <w:ind w:firstLine="480" w:firstLineChars="200"/>
        <w:rPr>
          <w:rFonts w:hint="eastAsia" w:cs="仿宋"/>
          <w:bCs/>
        </w:rPr>
        <w:sectPr>
          <w:footerReference r:id="rId8" w:type="default"/>
          <w:pgSz w:w="11907" w:h="16840"/>
          <w:pgMar w:top="1304" w:right="1304" w:bottom="1304" w:left="1304" w:header="850" w:footer="992" w:gutter="0"/>
          <w:pgNumType w:fmt="decimal"/>
          <w:cols w:space="720" w:num="1"/>
          <w:docGrid w:linePitch="360" w:charSpace="0"/>
        </w:sectPr>
      </w:pPr>
      <w:r>
        <w:rPr>
          <w:rFonts w:hint="eastAsia" w:cs="仿宋"/>
          <w:bCs/>
        </w:rPr>
        <w:t>注：投标人应根据投标人须知第3.5.4项的要求附相关证明材料。</w:t>
      </w:r>
    </w:p>
    <w:p w14:paraId="4EB8889F">
      <w:pPr>
        <w:pStyle w:val="59"/>
        <w:ind w:left="0" w:firstLine="0"/>
        <w:rPr>
          <w:rFonts w:hint="eastAsia" w:cs="仿宋"/>
          <w:b w:val="0"/>
        </w:rPr>
      </w:pPr>
      <w:bookmarkStart w:id="191" w:name="_Toc20622_WPSOffice_Level1"/>
      <w:bookmarkStart w:id="192" w:name="_Toc391556618"/>
      <w:bookmarkStart w:id="193" w:name="_Toc352160853"/>
      <w:bookmarkStart w:id="194" w:name="_Toc19580_WPSOffice_Level1"/>
      <w:bookmarkStart w:id="195" w:name="_Toc508871758"/>
      <w:bookmarkStart w:id="196" w:name="_Toc506105878"/>
      <w:r>
        <w:rPr>
          <w:rFonts w:hint="eastAsia" w:cs="仿宋"/>
          <w:b w:val="0"/>
        </w:rPr>
        <w:t>6、报价表</w:t>
      </w:r>
      <w:bookmarkEnd w:id="191"/>
      <w:bookmarkEnd w:id="192"/>
      <w:bookmarkEnd w:id="193"/>
      <w:bookmarkEnd w:id="194"/>
      <w:bookmarkEnd w:id="195"/>
      <w:bookmarkEnd w:id="196"/>
    </w:p>
    <w:p w14:paraId="5CD58762">
      <w:pPr>
        <w:spacing w:line="360" w:lineRule="auto"/>
        <w:rPr>
          <w:rFonts w:cs="仿宋"/>
          <w:b/>
        </w:rPr>
      </w:pPr>
      <w:r>
        <w:rPr>
          <w:rFonts w:hint="eastAsia" w:cs="仿宋"/>
          <w:b/>
        </w:rPr>
        <w:t>6.1报价说明：</w:t>
      </w:r>
    </w:p>
    <w:p w14:paraId="49B79553">
      <w:pPr>
        <w:tabs>
          <w:tab w:val="left" w:pos="945"/>
        </w:tabs>
        <w:spacing w:line="360" w:lineRule="auto"/>
        <w:ind w:firstLine="480" w:firstLineChars="200"/>
        <w:rPr>
          <w:rFonts w:cs="仿宋"/>
        </w:rPr>
      </w:pPr>
      <w:r>
        <w:rPr>
          <w:rFonts w:hint="eastAsia" w:cs="仿宋"/>
        </w:rPr>
        <w:t>（1）报价表应按本招标文件规定的格式填写。</w:t>
      </w:r>
    </w:p>
    <w:p w14:paraId="56DFDDBC">
      <w:pPr>
        <w:tabs>
          <w:tab w:val="left" w:pos="945"/>
        </w:tabs>
        <w:spacing w:line="360" w:lineRule="auto"/>
        <w:ind w:firstLine="480" w:firstLineChars="200"/>
        <w:rPr>
          <w:rFonts w:cs="仿宋"/>
        </w:rPr>
      </w:pPr>
      <w:r>
        <w:rPr>
          <w:rFonts w:hint="eastAsia" w:cs="仿宋"/>
        </w:rPr>
        <w:t>（2）报价币种为人民币。</w:t>
      </w:r>
    </w:p>
    <w:p w14:paraId="4A40D8F8">
      <w:pPr>
        <w:tabs>
          <w:tab w:val="left" w:pos="945"/>
        </w:tabs>
        <w:spacing w:line="360" w:lineRule="auto"/>
        <w:ind w:firstLine="480" w:firstLineChars="200"/>
        <w:rPr>
          <w:rFonts w:cs="仿宋"/>
        </w:rPr>
      </w:pPr>
      <w:r>
        <w:rPr>
          <w:rFonts w:hint="eastAsia" w:cs="仿宋"/>
        </w:rPr>
        <w:t>（3）如果按单价计算的结果与总价不一致，以单价为准修正总价。</w:t>
      </w:r>
    </w:p>
    <w:p w14:paraId="1180A453">
      <w:pPr>
        <w:tabs>
          <w:tab w:val="left" w:pos="945"/>
        </w:tabs>
        <w:spacing w:line="360" w:lineRule="auto"/>
        <w:ind w:firstLine="480" w:firstLineChars="200"/>
        <w:rPr>
          <w:rFonts w:cs="仿宋"/>
        </w:rPr>
      </w:pPr>
      <w:r>
        <w:rPr>
          <w:rFonts w:hint="eastAsia" w:cs="仿宋"/>
        </w:rPr>
        <w:t>（4）报价清单中有计算或汇总中的算术错误时，将按招标须知中有关规定执行。</w:t>
      </w:r>
    </w:p>
    <w:p w14:paraId="268837C9">
      <w:pPr>
        <w:tabs>
          <w:tab w:val="left" w:pos="945"/>
        </w:tabs>
        <w:spacing w:line="360" w:lineRule="auto"/>
        <w:ind w:firstLine="480" w:firstLineChars="200"/>
        <w:rPr>
          <w:rFonts w:cs="仿宋"/>
        </w:rPr>
      </w:pPr>
      <w:r>
        <w:rPr>
          <w:rFonts w:hint="eastAsia" w:cs="仿宋"/>
        </w:rPr>
        <w:t>（5）报价中包含</w:t>
      </w:r>
      <w:r>
        <w:rPr>
          <w:rFonts w:hint="eastAsia" w:ascii="宋体" w:hAnsi="宋体" w:cs="宋体"/>
          <w:color w:val="000000"/>
          <w:sz w:val="24"/>
        </w:rPr>
        <w:t>材料费、</w:t>
      </w:r>
      <w:r>
        <w:rPr>
          <w:rFonts w:hint="eastAsia" w:ascii="宋体" w:hAnsi="宋体" w:cs="宋体"/>
          <w:color w:val="000000"/>
          <w:sz w:val="24"/>
          <w:lang w:val="zh-CN"/>
        </w:rPr>
        <w:t>往返运输、</w:t>
      </w:r>
      <w:r>
        <w:rPr>
          <w:rFonts w:hint="eastAsia" w:ascii="宋体" w:hAnsi="宋体" w:cs="宋体"/>
          <w:color w:val="000000"/>
          <w:sz w:val="24"/>
        </w:rPr>
        <w:t>人工、</w:t>
      </w:r>
      <w:r>
        <w:rPr>
          <w:rFonts w:hint="eastAsia" w:ascii="宋体" w:hAnsi="宋体" w:cs="宋体"/>
          <w:color w:val="000000"/>
          <w:sz w:val="24"/>
          <w:lang w:val="zh-CN"/>
        </w:rPr>
        <w:t>试验</w:t>
      </w:r>
      <w:r>
        <w:rPr>
          <w:rFonts w:hint="eastAsia" w:ascii="宋体" w:hAnsi="宋体" w:cs="宋体"/>
          <w:color w:val="000000"/>
          <w:sz w:val="24"/>
        </w:rPr>
        <w:t>等费用</w:t>
      </w:r>
      <w:r>
        <w:rPr>
          <w:rFonts w:hint="eastAsia" w:cs="仿宋"/>
        </w:rPr>
        <w:t>。</w:t>
      </w:r>
    </w:p>
    <w:p w14:paraId="571611F0">
      <w:pPr>
        <w:tabs>
          <w:tab w:val="left" w:pos="945"/>
        </w:tabs>
        <w:spacing w:line="360" w:lineRule="auto"/>
        <w:ind w:firstLine="480" w:firstLineChars="200"/>
        <w:rPr>
          <w:rFonts w:cs="仿宋"/>
        </w:rPr>
      </w:pPr>
      <w:r>
        <w:rPr>
          <w:rFonts w:hint="eastAsia" w:cs="仿宋"/>
        </w:rPr>
        <w:t>（6）本项目为固定总价项目，合同价格包括完成项目所需的各种费用，且在合同执行过程中不作任何调整。</w:t>
      </w:r>
    </w:p>
    <w:p w14:paraId="0F30128F">
      <w:pPr>
        <w:tabs>
          <w:tab w:val="left" w:pos="945"/>
        </w:tabs>
        <w:spacing w:line="360" w:lineRule="auto"/>
        <w:ind w:left="1027" w:leftChars="228" w:hanging="480" w:hangingChars="200"/>
        <w:rPr>
          <w:rFonts w:cs="仿宋"/>
        </w:rPr>
      </w:pPr>
      <w:r>
        <w:rPr>
          <w:rFonts w:hint="eastAsia" w:cs="仿宋"/>
        </w:rPr>
        <w:t>（7）若投标人对某些项目未报价，则应认为已包括在总报价内。</w:t>
      </w:r>
    </w:p>
    <w:p w14:paraId="7BDA7BFF">
      <w:pPr>
        <w:tabs>
          <w:tab w:val="left" w:pos="945"/>
        </w:tabs>
        <w:spacing w:line="360" w:lineRule="auto"/>
        <w:ind w:firstLine="480" w:firstLineChars="200"/>
        <w:rPr>
          <w:rFonts w:cs="仿宋"/>
        </w:rPr>
      </w:pPr>
      <w:r>
        <w:rPr>
          <w:rFonts w:hint="eastAsia" w:cs="仿宋"/>
        </w:rPr>
        <w:t>（8）</w:t>
      </w:r>
      <w:r>
        <w:rPr>
          <w:rFonts w:cs="仿宋"/>
        </w:rPr>
        <w:t>报价</w:t>
      </w:r>
      <w:r>
        <w:rPr>
          <w:rFonts w:hint="eastAsia" w:cs="仿宋"/>
        </w:rPr>
        <w:t>为</w:t>
      </w:r>
      <w:r>
        <w:rPr>
          <w:rFonts w:cs="仿宋"/>
        </w:rPr>
        <w:t>含</w:t>
      </w:r>
      <w:r>
        <w:rPr>
          <w:rFonts w:hint="eastAsia" w:cs="仿宋"/>
          <w:u w:val="single"/>
          <w:lang w:val="en-US" w:eastAsia="zh-CN"/>
        </w:rPr>
        <w:t xml:space="preserve">   </w:t>
      </w:r>
      <w:r>
        <w:rPr>
          <w:rFonts w:cs="仿宋"/>
        </w:rPr>
        <w:t>%增值税专用发票价格</w:t>
      </w:r>
      <w:r>
        <w:rPr>
          <w:rFonts w:hint="eastAsia" w:cs="仿宋"/>
        </w:rPr>
        <w:t>（以人民币报价的方式）。</w:t>
      </w:r>
    </w:p>
    <w:p w14:paraId="7D6DB79E">
      <w:pPr>
        <w:autoSpaceDE w:val="0"/>
        <w:autoSpaceDN w:val="0"/>
        <w:adjustRightInd w:val="0"/>
        <w:snapToGrid w:val="0"/>
        <w:spacing w:before="156" w:beforeLines="50" w:after="249" w:afterLines="80" w:line="360" w:lineRule="auto"/>
        <w:ind w:left="393" w:hanging="393" w:hangingChars="163"/>
        <w:rPr>
          <w:rFonts w:cs="仿宋"/>
          <w:b/>
        </w:rPr>
      </w:pPr>
    </w:p>
    <w:p w14:paraId="142474AA">
      <w:pPr>
        <w:autoSpaceDE w:val="0"/>
        <w:autoSpaceDN w:val="0"/>
        <w:adjustRightInd w:val="0"/>
        <w:snapToGrid w:val="0"/>
        <w:jc w:val="both"/>
        <w:rPr>
          <w:rFonts w:cs="仿宋"/>
          <w:b/>
        </w:rPr>
      </w:pPr>
      <w:r>
        <w:rPr>
          <w:rFonts w:hint="eastAsia" w:cs="仿宋"/>
          <w:b/>
        </w:rPr>
        <w:br w:type="page"/>
      </w:r>
      <w:r>
        <w:rPr>
          <w:rFonts w:hint="eastAsia" w:cs="仿宋"/>
          <w:b/>
        </w:rPr>
        <w:t>6.2</w:t>
      </w:r>
      <w:r>
        <w:rPr>
          <w:rFonts w:hint="eastAsia" w:cs="仿宋"/>
          <w:b/>
          <w:lang w:val="en-US" w:eastAsia="zh-CN"/>
        </w:rPr>
        <w:t>分项</w:t>
      </w:r>
      <w:r>
        <w:rPr>
          <w:rFonts w:hint="eastAsia" w:cs="仿宋"/>
          <w:b/>
        </w:rPr>
        <w:t xml:space="preserve">报价表            </w:t>
      </w:r>
    </w:p>
    <w:p w14:paraId="340FE100">
      <w:pPr>
        <w:autoSpaceDE w:val="0"/>
        <w:autoSpaceDN w:val="0"/>
        <w:adjustRightInd w:val="0"/>
        <w:snapToGrid w:val="0"/>
        <w:ind w:left="393" w:hanging="393" w:hangingChars="163"/>
        <w:jc w:val="center"/>
        <w:rPr>
          <w:rFonts w:hint="eastAsia" w:eastAsia="宋体" w:cs="仿宋"/>
          <w:lang w:eastAsia="zh-CN"/>
        </w:rPr>
      </w:pPr>
      <w:r>
        <w:rPr>
          <w:rFonts w:hint="eastAsia" w:cs="仿宋"/>
          <w:b/>
          <w:lang w:val="en-US" w:eastAsia="zh-CN"/>
        </w:rPr>
        <w:t>分项</w:t>
      </w:r>
      <w:r>
        <w:rPr>
          <w:rFonts w:hint="eastAsia" w:cs="仿宋"/>
          <w:b/>
        </w:rPr>
        <w:t>报价表</w:t>
      </w:r>
      <w:r>
        <w:rPr>
          <w:rFonts w:hint="eastAsia" w:cs="仿宋"/>
          <w:b/>
          <w:lang w:eastAsia="zh-CN"/>
        </w:rPr>
        <w:t>（</w:t>
      </w:r>
      <w:r>
        <w:rPr>
          <w:rFonts w:hint="eastAsia" w:cs="仿宋"/>
          <w:b/>
          <w:lang w:val="en-US" w:eastAsia="zh-CN"/>
        </w:rPr>
        <w:t>单位：元</w:t>
      </w:r>
      <w:r>
        <w:rPr>
          <w:rFonts w:hint="eastAsia" w:cs="仿宋"/>
          <w:b/>
          <w:lang w:eastAsia="zh-CN"/>
        </w:rPr>
        <w:t>）</w:t>
      </w:r>
    </w:p>
    <w:tbl>
      <w:tblPr>
        <w:tblStyle w:val="47"/>
        <w:tblpPr w:leftFromText="180" w:rightFromText="180" w:vertAnchor="text" w:horzAnchor="page" w:tblpX="1013" w:tblpY="367"/>
        <w:tblOverlap w:val="never"/>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354"/>
        <w:gridCol w:w="1400"/>
        <w:gridCol w:w="1612"/>
        <w:gridCol w:w="1694"/>
        <w:gridCol w:w="1511"/>
        <w:gridCol w:w="1357"/>
      </w:tblGrid>
      <w:tr w14:paraId="0ED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09" w:type="dxa"/>
            <w:noWrap w:val="0"/>
            <w:vAlign w:val="center"/>
          </w:tcPr>
          <w:p w14:paraId="5CCD3526">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354" w:type="dxa"/>
            <w:noWrap w:val="0"/>
            <w:vAlign w:val="center"/>
          </w:tcPr>
          <w:p w14:paraId="28720288">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设备名称</w:t>
            </w:r>
          </w:p>
        </w:tc>
        <w:tc>
          <w:tcPr>
            <w:tcW w:w="1400" w:type="dxa"/>
            <w:noWrap w:val="0"/>
            <w:vAlign w:val="center"/>
          </w:tcPr>
          <w:p w14:paraId="2906DAB3">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设备品牌</w:t>
            </w:r>
          </w:p>
          <w:p w14:paraId="342945E2">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及参数</w:t>
            </w:r>
          </w:p>
        </w:tc>
        <w:tc>
          <w:tcPr>
            <w:tcW w:w="1612" w:type="dxa"/>
            <w:noWrap w:val="0"/>
            <w:vAlign w:val="center"/>
          </w:tcPr>
          <w:p w14:paraId="25F6610D">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设备安装位置</w:t>
            </w:r>
          </w:p>
        </w:tc>
        <w:tc>
          <w:tcPr>
            <w:tcW w:w="1694" w:type="dxa"/>
            <w:noWrap w:val="0"/>
            <w:vAlign w:val="center"/>
          </w:tcPr>
          <w:p w14:paraId="595B330F">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设备故障说明</w:t>
            </w:r>
          </w:p>
        </w:tc>
        <w:tc>
          <w:tcPr>
            <w:tcW w:w="1511" w:type="dxa"/>
            <w:noWrap w:val="0"/>
            <w:vAlign w:val="center"/>
          </w:tcPr>
          <w:p w14:paraId="4160CAC9">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设备维护数量</w:t>
            </w:r>
          </w:p>
        </w:tc>
        <w:tc>
          <w:tcPr>
            <w:tcW w:w="1357" w:type="dxa"/>
            <w:noWrap w:val="0"/>
            <w:vAlign w:val="center"/>
          </w:tcPr>
          <w:p w14:paraId="2DBD9202">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单价</w:t>
            </w:r>
          </w:p>
        </w:tc>
      </w:tr>
      <w:tr w14:paraId="6710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109" w:type="dxa"/>
            <w:noWrap w:val="0"/>
            <w:vAlign w:val="center"/>
          </w:tcPr>
          <w:p w14:paraId="26D76D22">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54" w:type="dxa"/>
            <w:shd w:val="clear" w:color="auto" w:fill="auto"/>
            <w:noWrap w:val="0"/>
            <w:vAlign w:val="bottom"/>
          </w:tcPr>
          <w:p w14:paraId="4A8C76A8">
            <w:pPr>
              <w:ind w:left="0" w:leftChars="0"/>
              <w:jc w:val="center"/>
              <w:rPr>
                <w:rFonts w:hint="eastAsia" w:ascii="宋体" w:hAnsi="宋体" w:eastAsia="宋体" w:cs="宋体"/>
                <w:i w:val="0"/>
                <w:iCs w:val="0"/>
                <w:color w:val="auto"/>
                <w:sz w:val="24"/>
                <w:szCs w:val="24"/>
                <w:u w:val="none"/>
                <w:lang w:val="en-US" w:eastAsia="zh-CN" w:bidi="ar-SA"/>
              </w:rPr>
            </w:pPr>
            <w:r>
              <w:rPr>
                <w:rFonts w:hint="eastAsia" w:ascii="宋体" w:hAnsi="宋体" w:eastAsia="宋体" w:cs="宋体"/>
                <w:color w:val="auto"/>
                <w:sz w:val="24"/>
                <w:szCs w:val="24"/>
                <w:vertAlign w:val="baseline"/>
                <w:lang w:val="en-US" w:eastAsia="zh-CN"/>
              </w:rPr>
              <w:t>通用桥式起重机</w:t>
            </w:r>
          </w:p>
        </w:tc>
        <w:tc>
          <w:tcPr>
            <w:tcW w:w="1400" w:type="dxa"/>
            <w:noWrap w:val="0"/>
            <w:vAlign w:val="center"/>
          </w:tcPr>
          <w:p w14:paraId="7486B836">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QD32/10-16.615A5</w:t>
            </w:r>
          </w:p>
        </w:tc>
        <w:tc>
          <w:tcPr>
            <w:tcW w:w="1612" w:type="dxa"/>
            <w:noWrap w:val="0"/>
            <w:vAlign w:val="center"/>
          </w:tcPr>
          <w:p w14:paraId="47A6478E">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检修车间南跨</w:t>
            </w:r>
          </w:p>
        </w:tc>
        <w:tc>
          <w:tcPr>
            <w:tcW w:w="1694" w:type="dxa"/>
            <w:noWrap w:val="0"/>
            <w:vAlign w:val="center"/>
          </w:tcPr>
          <w:p w14:paraId="1B469304">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主钩下限位失效，主副钩减速机及其他运转部位加注润滑脂</w:t>
            </w:r>
          </w:p>
        </w:tc>
        <w:tc>
          <w:tcPr>
            <w:tcW w:w="1511" w:type="dxa"/>
            <w:noWrap w:val="0"/>
            <w:vAlign w:val="center"/>
          </w:tcPr>
          <w:p w14:paraId="18F12068">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1357" w:type="dxa"/>
            <w:noWrap w:val="0"/>
            <w:vAlign w:val="center"/>
          </w:tcPr>
          <w:p w14:paraId="2163D402">
            <w:pPr>
              <w:ind w:left="0" w:leftChars="0"/>
              <w:jc w:val="center"/>
              <w:rPr>
                <w:rFonts w:hint="eastAsia" w:ascii="宋体" w:hAnsi="宋体" w:eastAsia="宋体" w:cs="宋体"/>
                <w:color w:val="auto"/>
                <w:sz w:val="24"/>
                <w:szCs w:val="24"/>
                <w:highlight w:val="none"/>
                <w:vertAlign w:val="baseline"/>
                <w:lang w:val="en-US" w:eastAsia="zh-CN"/>
              </w:rPr>
            </w:pPr>
          </w:p>
        </w:tc>
      </w:tr>
      <w:tr w14:paraId="534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109" w:type="dxa"/>
            <w:noWrap w:val="0"/>
            <w:vAlign w:val="center"/>
          </w:tcPr>
          <w:p w14:paraId="63AACE01">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54" w:type="dxa"/>
            <w:noWrap w:val="0"/>
            <w:vAlign w:val="center"/>
          </w:tcPr>
          <w:p w14:paraId="132B757B">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电动单梁起重机</w:t>
            </w:r>
          </w:p>
        </w:tc>
        <w:tc>
          <w:tcPr>
            <w:tcW w:w="1400" w:type="dxa"/>
            <w:noWrap w:val="0"/>
            <w:vAlign w:val="center"/>
          </w:tcPr>
          <w:p w14:paraId="7781CEA8">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LD5-10.5A3</w:t>
            </w:r>
          </w:p>
        </w:tc>
        <w:tc>
          <w:tcPr>
            <w:tcW w:w="1612" w:type="dxa"/>
            <w:noWrap w:val="0"/>
            <w:vAlign w:val="center"/>
          </w:tcPr>
          <w:p w14:paraId="4342AFE0">
            <w:pPr>
              <w:ind w:left="0" w:leftChars="0"/>
              <w:jc w:val="center"/>
              <w:rPr>
                <w:rFonts w:hint="default"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检修车间北跨</w:t>
            </w:r>
          </w:p>
        </w:tc>
        <w:tc>
          <w:tcPr>
            <w:tcW w:w="1694" w:type="dxa"/>
            <w:noWrap w:val="0"/>
            <w:vAlign w:val="center"/>
          </w:tcPr>
          <w:p w14:paraId="0A5E2833">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下降限位</w:t>
            </w:r>
            <w:r>
              <w:rPr>
                <w:rFonts w:hint="eastAsia" w:cs="宋体"/>
                <w:color w:val="auto"/>
                <w:sz w:val="24"/>
                <w:szCs w:val="24"/>
                <w:vertAlign w:val="baseline"/>
                <w:lang w:val="en-US" w:eastAsia="zh-CN"/>
              </w:rPr>
              <w:t>失效，南北运行无限位装置，其他运转部位加注润滑脂</w:t>
            </w:r>
          </w:p>
        </w:tc>
        <w:tc>
          <w:tcPr>
            <w:tcW w:w="1511" w:type="dxa"/>
            <w:noWrap w:val="0"/>
            <w:vAlign w:val="center"/>
          </w:tcPr>
          <w:p w14:paraId="00744084">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1357" w:type="dxa"/>
            <w:noWrap w:val="0"/>
            <w:vAlign w:val="center"/>
          </w:tcPr>
          <w:p w14:paraId="6B3F945D">
            <w:pPr>
              <w:ind w:left="0" w:leftChars="0"/>
              <w:jc w:val="center"/>
              <w:rPr>
                <w:rFonts w:hint="eastAsia" w:ascii="宋体" w:hAnsi="宋体" w:eastAsia="宋体" w:cs="宋体"/>
                <w:color w:val="auto"/>
                <w:sz w:val="24"/>
                <w:szCs w:val="24"/>
                <w:highlight w:val="none"/>
                <w:vertAlign w:val="baseline"/>
                <w:lang w:val="en-US" w:eastAsia="zh-CN"/>
              </w:rPr>
            </w:pPr>
          </w:p>
        </w:tc>
      </w:tr>
      <w:tr w14:paraId="7E3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109" w:type="dxa"/>
            <w:noWrap w:val="0"/>
            <w:vAlign w:val="center"/>
          </w:tcPr>
          <w:p w14:paraId="1665A785">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54" w:type="dxa"/>
            <w:noWrap w:val="0"/>
            <w:vAlign w:val="center"/>
          </w:tcPr>
          <w:p w14:paraId="2553C9C6">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双梁桥式起重机</w:t>
            </w:r>
          </w:p>
        </w:tc>
        <w:tc>
          <w:tcPr>
            <w:tcW w:w="1400" w:type="dxa"/>
            <w:noWrap w:val="0"/>
            <w:vAlign w:val="center"/>
          </w:tcPr>
          <w:p w14:paraId="758C0E80">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QD型5-25</w:t>
            </w:r>
          </w:p>
        </w:tc>
        <w:tc>
          <w:tcPr>
            <w:tcW w:w="1612" w:type="dxa"/>
            <w:noWrap w:val="0"/>
            <w:vAlign w:val="center"/>
          </w:tcPr>
          <w:p w14:paraId="106CE7DA">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一线破碎机房</w:t>
            </w:r>
          </w:p>
        </w:tc>
        <w:tc>
          <w:tcPr>
            <w:tcW w:w="1694" w:type="dxa"/>
            <w:noWrap w:val="0"/>
            <w:vAlign w:val="center"/>
          </w:tcPr>
          <w:p w14:paraId="2BE6FA3F">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起重机大钩起重物，起升正常、下降失速自锁</w:t>
            </w:r>
            <w:r>
              <w:rPr>
                <w:rFonts w:hint="eastAsia" w:cs="宋体"/>
                <w:color w:val="auto"/>
                <w:sz w:val="24"/>
                <w:szCs w:val="24"/>
                <w:vertAlign w:val="baseline"/>
                <w:lang w:val="en-US" w:eastAsia="zh-CN"/>
              </w:rPr>
              <w:t>，其他运转部位加注润滑脂</w:t>
            </w:r>
          </w:p>
        </w:tc>
        <w:tc>
          <w:tcPr>
            <w:tcW w:w="1511" w:type="dxa"/>
            <w:noWrap w:val="0"/>
            <w:vAlign w:val="center"/>
          </w:tcPr>
          <w:p w14:paraId="264E0221">
            <w:pPr>
              <w:ind w:left="0" w:left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cs="宋体"/>
                <w:color w:val="auto"/>
                <w:sz w:val="24"/>
                <w:szCs w:val="24"/>
                <w:highlight w:val="none"/>
                <w:vertAlign w:val="baseline"/>
                <w:lang w:val="en-US" w:eastAsia="zh-CN"/>
              </w:rPr>
              <w:t>台</w:t>
            </w:r>
          </w:p>
        </w:tc>
        <w:tc>
          <w:tcPr>
            <w:tcW w:w="1357" w:type="dxa"/>
            <w:noWrap w:val="0"/>
            <w:vAlign w:val="center"/>
          </w:tcPr>
          <w:p w14:paraId="0AF55935">
            <w:pPr>
              <w:ind w:left="0" w:leftChars="0"/>
              <w:jc w:val="center"/>
              <w:rPr>
                <w:rFonts w:hint="eastAsia" w:ascii="宋体" w:hAnsi="宋体" w:eastAsia="宋体" w:cs="宋体"/>
                <w:color w:val="auto"/>
                <w:sz w:val="24"/>
                <w:szCs w:val="24"/>
                <w:highlight w:val="none"/>
                <w:vertAlign w:val="baseline"/>
                <w:lang w:val="en-US" w:eastAsia="zh-CN"/>
              </w:rPr>
            </w:pPr>
          </w:p>
        </w:tc>
      </w:tr>
      <w:tr w14:paraId="7003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09" w:type="dxa"/>
            <w:noWrap w:val="0"/>
            <w:vAlign w:val="center"/>
          </w:tcPr>
          <w:p w14:paraId="731E81E4">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54" w:type="dxa"/>
            <w:noWrap w:val="0"/>
            <w:vAlign w:val="center"/>
          </w:tcPr>
          <w:p w14:paraId="449A9C07">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电动单梁起重机</w:t>
            </w:r>
          </w:p>
        </w:tc>
        <w:tc>
          <w:tcPr>
            <w:tcW w:w="1400" w:type="dxa"/>
            <w:noWrap w:val="0"/>
            <w:vAlign w:val="center"/>
          </w:tcPr>
          <w:p w14:paraId="20165783">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LD5-10.5A3</w:t>
            </w:r>
          </w:p>
        </w:tc>
        <w:tc>
          <w:tcPr>
            <w:tcW w:w="1612" w:type="dxa"/>
            <w:noWrap w:val="0"/>
            <w:vAlign w:val="center"/>
          </w:tcPr>
          <w:p w14:paraId="1F952DEB">
            <w:pPr>
              <w:ind w:left="0" w:lef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矿山仓库</w:t>
            </w:r>
          </w:p>
        </w:tc>
        <w:tc>
          <w:tcPr>
            <w:tcW w:w="1694" w:type="dxa"/>
            <w:noWrap w:val="0"/>
            <w:vAlign w:val="center"/>
          </w:tcPr>
          <w:p w14:paraId="33EB0E71">
            <w:pPr>
              <w:ind w:left="0" w:lef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大车行走限位一侧缺失</w:t>
            </w:r>
            <w:r>
              <w:rPr>
                <w:rFonts w:hint="eastAsia" w:cs="宋体"/>
                <w:color w:val="auto"/>
                <w:sz w:val="24"/>
                <w:szCs w:val="24"/>
                <w:vertAlign w:val="baseline"/>
                <w:lang w:val="en-US" w:eastAsia="zh-CN"/>
              </w:rPr>
              <w:t>，其他运转部位加注润滑脂</w:t>
            </w:r>
          </w:p>
        </w:tc>
        <w:tc>
          <w:tcPr>
            <w:tcW w:w="1511" w:type="dxa"/>
            <w:noWrap w:val="0"/>
            <w:vAlign w:val="center"/>
          </w:tcPr>
          <w:p w14:paraId="132E1F25">
            <w:pPr>
              <w:ind w:left="0" w:left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1台</w:t>
            </w:r>
          </w:p>
        </w:tc>
        <w:tc>
          <w:tcPr>
            <w:tcW w:w="1357" w:type="dxa"/>
            <w:noWrap w:val="0"/>
            <w:vAlign w:val="center"/>
          </w:tcPr>
          <w:p w14:paraId="1E5D03CF">
            <w:pPr>
              <w:ind w:left="0" w:leftChars="0"/>
              <w:jc w:val="center"/>
              <w:rPr>
                <w:rFonts w:hint="eastAsia" w:cs="宋体"/>
                <w:color w:val="auto"/>
                <w:sz w:val="24"/>
                <w:szCs w:val="24"/>
                <w:highlight w:val="none"/>
                <w:vertAlign w:val="baseline"/>
                <w:lang w:val="en-US" w:eastAsia="zh-CN"/>
              </w:rPr>
            </w:pPr>
          </w:p>
        </w:tc>
      </w:tr>
      <w:tr w14:paraId="282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109" w:type="dxa"/>
            <w:noWrap w:val="0"/>
            <w:vAlign w:val="center"/>
          </w:tcPr>
          <w:p w14:paraId="5F639E9E">
            <w:pPr>
              <w:ind w:left="0" w:leftChars="0"/>
              <w:jc w:val="center"/>
              <w:rPr>
                <w:rFonts w:hint="eastAsia" w:ascii="宋体" w:hAnsi="宋体" w:eastAsia="宋体" w:cs="宋体"/>
                <w:color w:val="auto"/>
                <w:sz w:val="24"/>
                <w:szCs w:val="24"/>
                <w:vertAlign w:val="baseline"/>
                <w:lang w:val="en-US" w:eastAsia="zh-CN"/>
              </w:rPr>
            </w:pPr>
          </w:p>
        </w:tc>
        <w:tc>
          <w:tcPr>
            <w:tcW w:w="7571" w:type="dxa"/>
            <w:gridSpan w:val="5"/>
            <w:noWrap w:val="0"/>
            <w:vAlign w:val="center"/>
          </w:tcPr>
          <w:p w14:paraId="367F4F93">
            <w:pPr>
              <w:ind w:left="0" w:leftChars="0"/>
              <w:jc w:val="center"/>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合计（含税）金额</w:t>
            </w:r>
          </w:p>
        </w:tc>
        <w:tc>
          <w:tcPr>
            <w:tcW w:w="1357" w:type="dxa"/>
            <w:noWrap w:val="0"/>
            <w:vAlign w:val="center"/>
          </w:tcPr>
          <w:p w14:paraId="0820CA5A">
            <w:pPr>
              <w:ind w:left="0" w:leftChars="0"/>
              <w:jc w:val="center"/>
              <w:rPr>
                <w:rFonts w:hint="eastAsia" w:cs="宋体"/>
                <w:color w:val="auto"/>
                <w:sz w:val="24"/>
                <w:szCs w:val="24"/>
                <w:highlight w:val="none"/>
                <w:vertAlign w:val="baseline"/>
                <w:lang w:val="en-US" w:eastAsia="zh-CN"/>
              </w:rPr>
            </w:pPr>
          </w:p>
        </w:tc>
      </w:tr>
    </w:tbl>
    <w:p w14:paraId="3289BD71">
      <w:pPr>
        <w:autoSpaceDE w:val="0"/>
        <w:autoSpaceDN w:val="0"/>
        <w:adjustRightInd w:val="0"/>
        <w:snapToGrid w:val="0"/>
        <w:spacing w:line="360" w:lineRule="auto"/>
        <w:rPr>
          <w:rFonts w:hint="default" w:eastAsia="宋体" w:cs="仿宋"/>
          <w:u w:val="single"/>
          <w:lang w:val="en-US" w:eastAsia="zh-CN"/>
        </w:rPr>
      </w:pPr>
      <w:r>
        <w:rPr>
          <w:rFonts w:hint="eastAsia" w:cs="仿宋"/>
          <w:lang w:val="en-US" w:eastAsia="zh-CN"/>
        </w:rPr>
        <w:t>合计：</w:t>
      </w:r>
      <w:r>
        <w:rPr>
          <w:rFonts w:hint="eastAsia" w:cs="仿宋"/>
          <w:u w:val="single"/>
          <w:lang w:val="en-US" w:eastAsia="zh-CN"/>
        </w:rPr>
        <w:t xml:space="preserve">             元，大写：           </w:t>
      </w:r>
    </w:p>
    <w:p w14:paraId="7EF63C91">
      <w:pPr>
        <w:pStyle w:val="45"/>
        <w:rPr>
          <w:rFonts w:hint="eastAsia"/>
        </w:rPr>
      </w:pPr>
    </w:p>
    <w:p w14:paraId="2F7C0FC5">
      <w:pPr>
        <w:autoSpaceDE w:val="0"/>
        <w:autoSpaceDN w:val="0"/>
        <w:adjustRightInd w:val="0"/>
        <w:snapToGrid w:val="0"/>
        <w:spacing w:line="360" w:lineRule="auto"/>
        <w:ind w:firstLine="4560" w:firstLineChars="1900"/>
        <w:rPr>
          <w:rFonts w:hint="eastAsia" w:cs="仿宋"/>
        </w:rPr>
      </w:pPr>
      <w:r>
        <w:rPr>
          <w:rFonts w:hint="eastAsia" w:cs="仿宋"/>
        </w:rPr>
        <w:t>投标人：（盖单位章）</w:t>
      </w:r>
    </w:p>
    <w:p w14:paraId="0353720C">
      <w:pPr>
        <w:spacing w:line="360" w:lineRule="auto"/>
        <w:ind w:firstLine="4560" w:firstLineChars="1900"/>
        <w:rPr>
          <w:rFonts w:hint="eastAsia" w:cs="仿宋"/>
        </w:rPr>
      </w:pPr>
      <w:r>
        <w:rPr>
          <w:rFonts w:hint="eastAsia" w:cs="仿宋"/>
        </w:rPr>
        <w:t>法定代表人或其委托代理人：（签字）</w:t>
      </w:r>
    </w:p>
    <w:p w14:paraId="1F592654">
      <w:pPr>
        <w:spacing w:line="360" w:lineRule="auto"/>
        <w:ind w:firstLine="6960" w:firstLineChars="2900"/>
        <w:rPr>
          <w:rFonts w:hint="eastAsia" w:cs="仿宋"/>
        </w:rPr>
      </w:pPr>
      <w:r>
        <w:rPr>
          <w:rFonts w:hint="eastAsia" w:cs="仿宋"/>
        </w:rPr>
        <w:t>年  月  日</w:t>
      </w:r>
    </w:p>
    <w:p w14:paraId="0653DB6D">
      <w:pPr>
        <w:autoSpaceDE w:val="0"/>
        <w:autoSpaceDN w:val="0"/>
        <w:adjustRightInd w:val="0"/>
        <w:snapToGrid w:val="0"/>
        <w:spacing w:line="360" w:lineRule="auto"/>
        <w:rPr>
          <w:rFonts w:cs="仿宋"/>
        </w:rPr>
      </w:pPr>
    </w:p>
    <w:p w14:paraId="520AB0F8">
      <w:pPr>
        <w:spacing w:line="360" w:lineRule="auto"/>
        <w:jc w:val="center"/>
        <w:rPr>
          <w:rFonts w:hint="eastAsia" w:cs="仿宋"/>
          <w:b/>
        </w:rPr>
      </w:pPr>
    </w:p>
    <w:p w14:paraId="6FA688FB">
      <w:pPr>
        <w:spacing w:line="360" w:lineRule="auto"/>
        <w:jc w:val="center"/>
        <w:rPr>
          <w:rFonts w:hint="eastAsia" w:cs="仿宋"/>
          <w:b/>
        </w:rPr>
      </w:pPr>
    </w:p>
    <w:p w14:paraId="0BA11D74">
      <w:pPr>
        <w:spacing w:line="360" w:lineRule="auto"/>
        <w:jc w:val="center"/>
        <w:rPr>
          <w:rFonts w:hint="eastAsia" w:cs="仿宋"/>
          <w:b/>
        </w:rPr>
      </w:pPr>
    </w:p>
    <w:p w14:paraId="6B54D86D">
      <w:pPr>
        <w:spacing w:line="360" w:lineRule="auto"/>
        <w:jc w:val="center"/>
        <w:rPr>
          <w:rFonts w:hint="eastAsia" w:cs="仿宋"/>
          <w:b/>
        </w:rPr>
      </w:pPr>
    </w:p>
    <w:p w14:paraId="701F7E41">
      <w:pPr>
        <w:pStyle w:val="45"/>
        <w:ind w:left="0" w:leftChars="0" w:firstLine="0" w:firstLineChars="0"/>
      </w:pPr>
    </w:p>
    <w:p w14:paraId="69AE8C73">
      <w:pPr>
        <w:pStyle w:val="59"/>
      </w:pPr>
      <w:bookmarkStart w:id="197" w:name="_Toc16334_WPSOffice_Level1"/>
      <w:bookmarkStart w:id="198" w:name="_Toc1630_WPSOffice_Level1"/>
      <w:bookmarkStart w:id="199" w:name="_Toc508871759"/>
      <w:bookmarkStart w:id="200" w:name="_Toc391556619"/>
      <w:bookmarkStart w:id="201" w:name="_Toc506105880"/>
      <w:bookmarkStart w:id="202" w:name="_Toc352160855"/>
      <w:r>
        <w:rPr>
          <w:rFonts w:hint="eastAsia"/>
        </w:rPr>
        <w:t>7、商务或技术偏差表</w:t>
      </w:r>
      <w:bookmarkEnd w:id="197"/>
      <w:bookmarkEnd w:id="198"/>
      <w:bookmarkEnd w:id="199"/>
    </w:p>
    <w:p w14:paraId="551CD6CC">
      <w:pPr>
        <w:spacing w:line="360" w:lineRule="auto"/>
        <w:jc w:val="center"/>
        <w:rPr>
          <w:rFonts w:cs="仿宋"/>
          <w:b/>
        </w:rPr>
      </w:pPr>
      <w:r>
        <w:rPr>
          <w:rFonts w:hint="eastAsia" w:cs="仿宋"/>
          <w:b/>
        </w:rPr>
        <w:t>商务或技术偏差表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4148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E77B4">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商务或技术偏差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03DBC0">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10CE38">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40DB1EE">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招标文件规定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825863E">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BB1A094">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备注</w:t>
            </w:r>
          </w:p>
        </w:tc>
      </w:tr>
      <w:tr w14:paraId="3CD2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D99FC">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E145A69">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5D388E">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BE4EEA8">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7EF6F1F">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1671701">
            <w:pPr>
              <w:overflowPunct w:val="0"/>
              <w:topLinePunct/>
              <w:spacing w:line="360" w:lineRule="auto"/>
              <w:ind w:right="14"/>
              <w:jc w:val="center"/>
              <w:rPr>
                <w:rFonts w:ascii="仿宋" w:hAnsi="仿宋" w:eastAsia="仿宋" w:cs="仿宋"/>
                <w:position w:val="-9"/>
              </w:rPr>
            </w:pPr>
          </w:p>
        </w:tc>
      </w:tr>
      <w:tr w14:paraId="4AFE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13281">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8E60DF9">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9B28FB">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08C7DE82">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7625F47">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17EA908">
            <w:pPr>
              <w:overflowPunct w:val="0"/>
              <w:topLinePunct/>
              <w:spacing w:line="360" w:lineRule="auto"/>
              <w:ind w:right="14"/>
              <w:jc w:val="center"/>
              <w:rPr>
                <w:rFonts w:ascii="仿宋" w:hAnsi="仿宋" w:eastAsia="仿宋" w:cs="仿宋"/>
                <w:position w:val="-9"/>
              </w:rPr>
            </w:pPr>
          </w:p>
        </w:tc>
      </w:tr>
      <w:tr w14:paraId="1AC9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58784">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121F7F1">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D98F1C">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3685A41">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7084BA">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5F76F8C">
            <w:pPr>
              <w:overflowPunct w:val="0"/>
              <w:topLinePunct/>
              <w:spacing w:line="360" w:lineRule="auto"/>
              <w:ind w:right="14"/>
              <w:jc w:val="center"/>
              <w:rPr>
                <w:rFonts w:ascii="仿宋" w:hAnsi="仿宋" w:eastAsia="仿宋" w:cs="仿宋"/>
                <w:position w:val="-9"/>
              </w:rPr>
            </w:pPr>
          </w:p>
        </w:tc>
      </w:tr>
      <w:tr w14:paraId="725A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66D0D">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985CB97">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B24975">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3178ECC">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317467C">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D04769C">
            <w:pPr>
              <w:overflowPunct w:val="0"/>
              <w:topLinePunct/>
              <w:spacing w:line="360" w:lineRule="auto"/>
              <w:ind w:right="14"/>
              <w:jc w:val="center"/>
              <w:rPr>
                <w:rFonts w:ascii="仿宋" w:hAnsi="仿宋" w:eastAsia="仿宋" w:cs="仿宋"/>
                <w:position w:val="-9"/>
              </w:rPr>
            </w:pPr>
          </w:p>
        </w:tc>
      </w:tr>
      <w:tr w14:paraId="67BD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F80CD">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D4AD92D">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5CA41BD">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B8DCC62">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EBF25D">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D87704B">
            <w:pPr>
              <w:overflowPunct w:val="0"/>
              <w:topLinePunct/>
              <w:spacing w:line="360" w:lineRule="auto"/>
              <w:ind w:right="14"/>
              <w:jc w:val="center"/>
              <w:rPr>
                <w:rFonts w:ascii="仿宋" w:hAnsi="仿宋" w:eastAsia="仿宋" w:cs="仿宋"/>
                <w:position w:val="-9"/>
              </w:rPr>
            </w:pPr>
          </w:p>
        </w:tc>
      </w:tr>
    </w:tbl>
    <w:p w14:paraId="66601E0E">
      <w:pPr>
        <w:spacing w:line="360" w:lineRule="auto"/>
        <w:ind w:firstLine="160" w:firstLineChars="67"/>
        <w:rPr>
          <w:rFonts w:ascii="仿宋" w:hAnsi="仿宋" w:eastAsia="仿宋" w:cs="仿宋"/>
        </w:rPr>
      </w:pPr>
      <w:r>
        <w:rPr>
          <w:rFonts w:hint="eastAsia" w:cs="仿宋"/>
        </w:rPr>
        <w:t>注：若无商务或技术偏差，本表可不填。</w:t>
      </w:r>
    </w:p>
    <w:p w14:paraId="14CEDD45">
      <w:pPr>
        <w:spacing w:line="360" w:lineRule="auto"/>
        <w:ind w:firstLine="4560" w:firstLineChars="1900"/>
        <w:rPr>
          <w:rFonts w:hint="eastAsia" w:cs="仿宋"/>
        </w:rPr>
      </w:pPr>
      <w:r>
        <w:rPr>
          <w:rFonts w:hint="eastAsia" w:cs="仿宋"/>
        </w:rPr>
        <w:t>投标人：（盖单位章）</w:t>
      </w:r>
    </w:p>
    <w:p w14:paraId="60120C3C">
      <w:pPr>
        <w:spacing w:line="360" w:lineRule="auto"/>
        <w:ind w:firstLine="4560" w:firstLineChars="1900"/>
        <w:rPr>
          <w:rFonts w:hint="eastAsia" w:cs="仿宋"/>
        </w:rPr>
      </w:pPr>
      <w:r>
        <w:rPr>
          <w:rFonts w:hint="eastAsia" w:cs="仿宋"/>
        </w:rPr>
        <w:t>法定代表人或其委托代理人：（签字）</w:t>
      </w:r>
    </w:p>
    <w:p w14:paraId="280C3B7D">
      <w:pPr>
        <w:spacing w:line="360" w:lineRule="auto"/>
        <w:ind w:firstLine="4560" w:firstLineChars="1900"/>
        <w:rPr>
          <w:rFonts w:hint="eastAsia" w:cs="仿宋"/>
        </w:rPr>
      </w:pPr>
      <w:r>
        <w:rPr>
          <w:rFonts w:hint="eastAsia" w:cs="仿宋"/>
        </w:rPr>
        <w:t>年月日</w:t>
      </w:r>
    </w:p>
    <w:p w14:paraId="1A04C8B1">
      <w:pPr>
        <w:spacing w:line="360" w:lineRule="auto"/>
        <w:ind w:firstLine="6960" w:firstLineChars="2900"/>
        <w:rPr>
          <w:rFonts w:ascii="仿宋" w:hAnsi="仿宋" w:eastAsia="仿宋" w:cs="仿宋"/>
        </w:rPr>
      </w:pPr>
    </w:p>
    <w:p w14:paraId="407B8752">
      <w:pPr>
        <w:pStyle w:val="59"/>
        <w:jc w:val="center"/>
      </w:pPr>
    </w:p>
    <w:p w14:paraId="2206DD6E">
      <w:pPr>
        <w:pStyle w:val="59"/>
        <w:jc w:val="center"/>
        <w:rPr>
          <w:rFonts w:hint="eastAsia"/>
        </w:rPr>
      </w:pPr>
      <w:bookmarkStart w:id="203" w:name="_Toc508871760"/>
    </w:p>
    <w:p w14:paraId="0F212A36">
      <w:pPr>
        <w:pStyle w:val="59"/>
        <w:rPr>
          <w:rFonts w:hint="eastAsia"/>
        </w:rPr>
      </w:pPr>
      <w:bookmarkStart w:id="204" w:name="_Toc27227_WPSOffice_Level1"/>
      <w:bookmarkStart w:id="205" w:name="_Toc31960_WPSOffice_Level1"/>
      <w:r>
        <w:rPr>
          <w:rFonts w:hint="eastAsia"/>
          <w:lang w:val="en-US" w:eastAsia="zh-CN"/>
        </w:rPr>
        <w:t>8</w:t>
      </w:r>
      <w:r>
        <w:rPr>
          <w:rFonts w:hint="eastAsia"/>
        </w:rPr>
        <w:t>、投标人认为应补充的其他资料</w:t>
      </w:r>
      <w:bookmarkEnd w:id="200"/>
      <w:bookmarkEnd w:id="201"/>
      <w:bookmarkEnd w:id="202"/>
      <w:bookmarkEnd w:id="203"/>
      <w:bookmarkEnd w:id="204"/>
      <w:bookmarkEnd w:id="205"/>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AC70B6-D327-48C8-80E8-73C97EE7EA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9DCD2A-06E6-4CF1-925A-434324E2A9A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1F8473C2-58E2-41E3-8E61-D783FC28B204}"/>
  </w:font>
  <w:font w:name="Arial Unicode MS">
    <w:panose1 w:val="020B0604020202020204"/>
    <w:charset w:val="86"/>
    <w:family w:val="swiss"/>
    <w:pitch w:val="default"/>
    <w:sig w:usb0="F7FFAEFF" w:usb1="F9DFFFFF" w:usb2="0000007F" w:usb3="00000000" w:csb0="203F01FF" w:csb1="DFFF0000"/>
    <w:embedRegular r:id="rId4" w:fontKey="{3CC8F03B-14F2-4172-BE42-EBB2103718EA}"/>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5" w:fontKey="{39473885-9AC3-496A-B7E2-4BD9DF39C7D5}"/>
  </w:font>
  <w:font w:name="仿宋">
    <w:panose1 w:val="02010609060101010101"/>
    <w:charset w:val="86"/>
    <w:family w:val="modern"/>
    <w:pitch w:val="default"/>
    <w:sig w:usb0="800002BF" w:usb1="38CF7CFA" w:usb2="00000016" w:usb3="00000000" w:csb0="00040001" w:csb1="00000000"/>
    <w:embedRegular r:id="rId6" w:fontKey="{4A0C68D4-78B1-4F1A-8279-3AF3ED593EED}"/>
  </w:font>
  <w:font w:name="MingLiU">
    <w:altName w:val="PMingLiU-ExtB"/>
    <w:panose1 w:val="02010609000101010101"/>
    <w:charset w:val="88"/>
    <w:family w:val="modern"/>
    <w:pitch w:val="default"/>
    <w:sig w:usb0="00000000" w:usb1="00000000" w:usb2="00000010" w:usb3="00000000" w:csb0="00100000" w:csb1="00000000"/>
    <w:embedRegular r:id="rId7" w:fontKey="{4DB61257-7475-430A-AA95-0C0973FFB763}"/>
  </w:font>
  <w:font w:name="楷体_GB2312">
    <w:panose1 w:val="02010609030101010101"/>
    <w:charset w:val="86"/>
    <w:family w:val="auto"/>
    <w:pitch w:val="default"/>
    <w:sig w:usb0="00000001" w:usb1="080E0000" w:usb2="00000000" w:usb3="00000000" w:csb0="00040000" w:csb1="00000000"/>
    <w:embedRegular r:id="rId8" w:fontKey="{7242D6A6-EECA-4872-9F54-E9AD7D760B11}"/>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79ED">
    <w:pPr>
      <w:pStyle w:val="29"/>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C6640">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5C6640">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6398">
    <w:pPr>
      <w:pStyle w:val="29"/>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D5523">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FD5523">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E455">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25</w:t>
    </w:r>
    <w:r>
      <w:fldChar w:fldCharType="end"/>
    </w:r>
  </w:p>
  <w:p w14:paraId="3F32FF8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2D31">
    <w:pPr>
      <w:pStyle w:val="29"/>
      <w:framePr w:wrap="around" w:vAnchor="text" w:hAnchor="margin" w:xAlign="center" w:y="1"/>
      <w:rPr>
        <w:rStyle w:val="50"/>
      </w:rPr>
    </w:pPr>
    <w:r>
      <w:fldChar w:fldCharType="begin"/>
    </w:r>
    <w:r>
      <w:rPr>
        <w:rStyle w:val="50"/>
      </w:rPr>
      <w:instrText xml:space="preserve">PAGE  </w:instrText>
    </w:r>
    <w:r>
      <w:fldChar w:fldCharType="end"/>
    </w:r>
  </w:p>
  <w:p w14:paraId="603034F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C3DD">
    <w:pPr>
      <w:rPr>
        <w:sz w:val="2"/>
        <w:szCs w:val="2"/>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3C74E">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13C74E">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9673590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7F1E5074"/>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0.25pt;margin-top:761.7pt;height:12.2pt;width:9.05pt;mso-position-horizontal-relative:page;mso-position-vertical-relative:page;mso-wrap-style:none;z-index:-251657216;mso-width-relative:page;mso-height-relative:page;" filled="f" stroked="f" coordsize="21600,21600" o:gfxdata="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tlEfYAAAADQEAAA8AAAAAAAAAAQAg&#10;AAAAIgAAAGRycy9kb3ducmV2LnhtbFBLAQIUABQAAAAIAIdO4kBScHXYDgIAABAEAAAOAAAAAAAA&#10;AAEAIAAAACcBAABkcnMvZTJvRG9jLnhtbFBLBQYAAAAABgAGAFkBAACnBQAAAAA=&#10;">
              <v:fill on="f" focussize="0,0"/>
              <v:stroke on="f"/>
              <v:imagedata o:title=""/>
              <o:lock v:ext="edit" aspectratio="f"/>
              <v:textbox inset="0mm,0mm,0mm,0mm" style="mso-fit-shape-to-text:t;">
                <w:txbxContent>
                  <w:p w14:paraId="7F1E507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C47D">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68"/>
      <w:lvlText w:val="（%1）"/>
      <w:lvlJc w:val="left"/>
      <w:pPr>
        <w:tabs>
          <w:tab w:val="left" w:pos="1200"/>
        </w:tabs>
        <w:ind w:left="1200" w:hanging="7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3BCE0B65"/>
    <w:multiLevelType w:val="singleLevel"/>
    <w:tmpl w:val="3BCE0B65"/>
    <w:lvl w:ilvl="0" w:tentative="0">
      <w:start w:val="2"/>
      <w:numFmt w:val="decimal"/>
      <w:suff w:val="nothing"/>
      <w:lvlText w:val="%1、"/>
      <w:lvlJc w:val="left"/>
      <w:rPr>
        <w:rFonts w:hint="default"/>
        <w:color w:val="auto"/>
      </w:rPr>
    </w:lvl>
  </w:abstractNum>
  <w:abstractNum w:abstractNumId="2">
    <w:nsid w:val="6760E10A"/>
    <w:multiLevelType w:val="singleLevel"/>
    <w:tmpl w:val="6760E10A"/>
    <w:lvl w:ilvl="0" w:tentative="0">
      <w:start w:val="3"/>
      <w:numFmt w:val="chineseCounting"/>
      <w:suff w:val="nothing"/>
      <w:lvlText w:val="%1、"/>
      <w:lvlJc w:val="left"/>
      <w:rPr>
        <w:rFonts w:hint="eastAsia"/>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jkzYWNlZTUyOWJkNzc0NWJhZjZjMGI2ODk4NTQifQ=="/>
  </w:docVars>
  <w:rsids>
    <w:rsidRoot w:val="00FA4DEE"/>
    <w:rsid w:val="000005B4"/>
    <w:rsid w:val="00000B07"/>
    <w:rsid w:val="00000E24"/>
    <w:rsid w:val="000010DF"/>
    <w:rsid w:val="000014B1"/>
    <w:rsid w:val="00001C2B"/>
    <w:rsid w:val="00001D8C"/>
    <w:rsid w:val="00001E66"/>
    <w:rsid w:val="00002256"/>
    <w:rsid w:val="000024DC"/>
    <w:rsid w:val="00002E3C"/>
    <w:rsid w:val="00003011"/>
    <w:rsid w:val="000031D6"/>
    <w:rsid w:val="00003666"/>
    <w:rsid w:val="0000484B"/>
    <w:rsid w:val="000051FA"/>
    <w:rsid w:val="00005213"/>
    <w:rsid w:val="00005803"/>
    <w:rsid w:val="00005A71"/>
    <w:rsid w:val="00005FC3"/>
    <w:rsid w:val="00006271"/>
    <w:rsid w:val="00006372"/>
    <w:rsid w:val="00006892"/>
    <w:rsid w:val="00006945"/>
    <w:rsid w:val="00006966"/>
    <w:rsid w:val="00006B71"/>
    <w:rsid w:val="00006D24"/>
    <w:rsid w:val="000072D9"/>
    <w:rsid w:val="000073CB"/>
    <w:rsid w:val="000073D1"/>
    <w:rsid w:val="00007405"/>
    <w:rsid w:val="000101F6"/>
    <w:rsid w:val="00010A4A"/>
    <w:rsid w:val="00010A4D"/>
    <w:rsid w:val="00010AD0"/>
    <w:rsid w:val="00010EDF"/>
    <w:rsid w:val="00011002"/>
    <w:rsid w:val="00011034"/>
    <w:rsid w:val="0001111F"/>
    <w:rsid w:val="000119AF"/>
    <w:rsid w:val="00011BE9"/>
    <w:rsid w:val="00011D0F"/>
    <w:rsid w:val="00011F0A"/>
    <w:rsid w:val="000124CC"/>
    <w:rsid w:val="0001256A"/>
    <w:rsid w:val="0001262C"/>
    <w:rsid w:val="000129F7"/>
    <w:rsid w:val="00013001"/>
    <w:rsid w:val="00013B10"/>
    <w:rsid w:val="00013F9F"/>
    <w:rsid w:val="00014073"/>
    <w:rsid w:val="00014717"/>
    <w:rsid w:val="00014DFC"/>
    <w:rsid w:val="00014E31"/>
    <w:rsid w:val="00014F89"/>
    <w:rsid w:val="000151C5"/>
    <w:rsid w:val="00015261"/>
    <w:rsid w:val="00015339"/>
    <w:rsid w:val="000156FA"/>
    <w:rsid w:val="00016615"/>
    <w:rsid w:val="000169BE"/>
    <w:rsid w:val="00016C2E"/>
    <w:rsid w:val="00016C4E"/>
    <w:rsid w:val="0001748F"/>
    <w:rsid w:val="000175FA"/>
    <w:rsid w:val="0001776E"/>
    <w:rsid w:val="00017B32"/>
    <w:rsid w:val="00020002"/>
    <w:rsid w:val="0002010A"/>
    <w:rsid w:val="000201A4"/>
    <w:rsid w:val="000209E9"/>
    <w:rsid w:val="00020DBF"/>
    <w:rsid w:val="000211EE"/>
    <w:rsid w:val="00021419"/>
    <w:rsid w:val="00021B05"/>
    <w:rsid w:val="00021BC9"/>
    <w:rsid w:val="00021DF2"/>
    <w:rsid w:val="0002202B"/>
    <w:rsid w:val="00022932"/>
    <w:rsid w:val="00022B1F"/>
    <w:rsid w:val="00022DE5"/>
    <w:rsid w:val="00022EB3"/>
    <w:rsid w:val="00022F46"/>
    <w:rsid w:val="0002305E"/>
    <w:rsid w:val="000230C1"/>
    <w:rsid w:val="000236BD"/>
    <w:rsid w:val="00023805"/>
    <w:rsid w:val="000239BC"/>
    <w:rsid w:val="00023B44"/>
    <w:rsid w:val="00023F4A"/>
    <w:rsid w:val="000245CE"/>
    <w:rsid w:val="00024793"/>
    <w:rsid w:val="00024F92"/>
    <w:rsid w:val="000253BA"/>
    <w:rsid w:val="00025B4E"/>
    <w:rsid w:val="00025F21"/>
    <w:rsid w:val="00025F90"/>
    <w:rsid w:val="000260D0"/>
    <w:rsid w:val="00026533"/>
    <w:rsid w:val="00026F5F"/>
    <w:rsid w:val="00027362"/>
    <w:rsid w:val="000274FA"/>
    <w:rsid w:val="0002763D"/>
    <w:rsid w:val="000276E8"/>
    <w:rsid w:val="000276FC"/>
    <w:rsid w:val="00027ABD"/>
    <w:rsid w:val="00027DCE"/>
    <w:rsid w:val="000300CF"/>
    <w:rsid w:val="00030F35"/>
    <w:rsid w:val="000318B3"/>
    <w:rsid w:val="00031D68"/>
    <w:rsid w:val="00032074"/>
    <w:rsid w:val="000324A6"/>
    <w:rsid w:val="000324AA"/>
    <w:rsid w:val="00032E07"/>
    <w:rsid w:val="00033272"/>
    <w:rsid w:val="00033311"/>
    <w:rsid w:val="0003338B"/>
    <w:rsid w:val="00033BDB"/>
    <w:rsid w:val="00033C6E"/>
    <w:rsid w:val="0003492D"/>
    <w:rsid w:val="00034A63"/>
    <w:rsid w:val="00034DEE"/>
    <w:rsid w:val="00034FFC"/>
    <w:rsid w:val="000353DA"/>
    <w:rsid w:val="00035C79"/>
    <w:rsid w:val="00035C9A"/>
    <w:rsid w:val="00035E61"/>
    <w:rsid w:val="00036284"/>
    <w:rsid w:val="0003636D"/>
    <w:rsid w:val="00036D78"/>
    <w:rsid w:val="00037101"/>
    <w:rsid w:val="00037517"/>
    <w:rsid w:val="00037943"/>
    <w:rsid w:val="00037EEC"/>
    <w:rsid w:val="00040399"/>
    <w:rsid w:val="000409A2"/>
    <w:rsid w:val="00040EFC"/>
    <w:rsid w:val="00041534"/>
    <w:rsid w:val="00041906"/>
    <w:rsid w:val="00041AA5"/>
    <w:rsid w:val="00041EC7"/>
    <w:rsid w:val="000421BC"/>
    <w:rsid w:val="0004256B"/>
    <w:rsid w:val="000426FA"/>
    <w:rsid w:val="0004298A"/>
    <w:rsid w:val="00042A76"/>
    <w:rsid w:val="0004304B"/>
    <w:rsid w:val="00043229"/>
    <w:rsid w:val="00043394"/>
    <w:rsid w:val="00043424"/>
    <w:rsid w:val="0004381E"/>
    <w:rsid w:val="00043A30"/>
    <w:rsid w:val="00043BDE"/>
    <w:rsid w:val="00043C75"/>
    <w:rsid w:val="00043F14"/>
    <w:rsid w:val="000444A8"/>
    <w:rsid w:val="00044689"/>
    <w:rsid w:val="000462DC"/>
    <w:rsid w:val="0004667B"/>
    <w:rsid w:val="00047032"/>
    <w:rsid w:val="0005080F"/>
    <w:rsid w:val="00050C85"/>
    <w:rsid w:val="0005130E"/>
    <w:rsid w:val="000514BD"/>
    <w:rsid w:val="00051C2F"/>
    <w:rsid w:val="00051E12"/>
    <w:rsid w:val="00051E9A"/>
    <w:rsid w:val="000521A6"/>
    <w:rsid w:val="000525A2"/>
    <w:rsid w:val="00052C17"/>
    <w:rsid w:val="00052D23"/>
    <w:rsid w:val="00052D74"/>
    <w:rsid w:val="00052E51"/>
    <w:rsid w:val="00052F08"/>
    <w:rsid w:val="00053732"/>
    <w:rsid w:val="00053929"/>
    <w:rsid w:val="00053C48"/>
    <w:rsid w:val="00053D7C"/>
    <w:rsid w:val="00053FBC"/>
    <w:rsid w:val="00054583"/>
    <w:rsid w:val="000547CE"/>
    <w:rsid w:val="00054842"/>
    <w:rsid w:val="00054C75"/>
    <w:rsid w:val="00054DB3"/>
    <w:rsid w:val="0005555E"/>
    <w:rsid w:val="000562FE"/>
    <w:rsid w:val="0005634E"/>
    <w:rsid w:val="000573D9"/>
    <w:rsid w:val="00057665"/>
    <w:rsid w:val="00057BB7"/>
    <w:rsid w:val="0006062A"/>
    <w:rsid w:val="00060A40"/>
    <w:rsid w:val="00060A6D"/>
    <w:rsid w:val="00060CC6"/>
    <w:rsid w:val="000613F2"/>
    <w:rsid w:val="000615FB"/>
    <w:rsid w:val="00061E0C"/>
    <w:rsid w:val="000620CB"/>
    <w:rsid w:val="000631EA"/>
    <w:rsid w:val="0006350A"/>
    <w:rsid w:val="000637A3"/>
    <w:rsid w:val="00063ED9"/>
    <w:rsid w:val="00064071"/>
    <w:rsid w:val="000645F0"/>
    <w:rsid w:val="0006460A"/>
    <w:rsid w:val="00064ABE"/>
    <w:rsid w:val="00064C17"/>
    <w:rsid w:val="00064C96"/>
    <w:rsid w:val="00064CBA"/>
    <w:rsid w:val="00065387"/>
    <w:rsid w:val="00065623"/>
    <w:rsid w:val="00065720"/>
    <w:rsid w:val="000659B8"/>
    <w:rsid w:val="00065A50"/>
    <w:rsid w:val="00065C47"/>
    <w:rsid w:val="00066077"/>
    <w:rsid w:val="00066222"/>
    <w:rsid w:val="00066368"/>
    <w:rsid w:val="000664F0"/>
    <w:rsid w:val="00067088"/>
    <w:rsid w:val="000672B7"/>
    <w:rsid w:val="000679AF"/>
    <w:rsid w:val="0007029A"/>
    <w:rsid w:val="000703F0"/>
    <w:rsid w:val="000707EC"/>
    <w:rsid w:val="00070B46"/>
    <w:rsid w:val="00070C0E"/>
    <w:rsid w:val="00071720"/>
    <w:rsid w:val="00071C07"/>
    <w:rsid w:val="00071E56"/>
    <w:rsid w:val="00071EFD"/>
    <w:rsid w:val="000721AC"/>
    <w:rsid w:val="000723E7"/>
    <w:rsid w:val="0007243E"/>
    <w:rsid w:val="0007252B"/>
    <w:rsid w:val="00072F21"/>
    <w:rsid w:val="000740A0"/>
    <w:rsid w:val="00074319"/>
    <w:rsid w:val="0007515A"/>
    <w:rsid w:val="0007569B"/>
    <w:rsid w:val="00075E72"/>
    <w:rsid w:val="00076696"/>
    <w:rsid w:val="00076784"/>
    <w:rsid w:val="00076A01"/>
    <w:rsid w:val="0007712C"/>
    <w:rsid w:val="00077199"/>
    <w:rsid w:val="00077219"/>
    <w:rsid w:val="00077707"/>
    <w:rsid w:val="00077B3C"/>
    <w:rsid w:val="00077DE9"/>
    <w:rsid w:val="00077F52"/>
    <w:rsid w:val="00080A0F"/>
    <w:rsid w:val="00080C1F"/>
    <w:rsid w:val="00080DF8"/>
    <w:rsid w:val="000811DE"/>
    <w:rsid w:val="000814AE"/>
    <w:rsid w:val="000819D7"/>
    <w:rsid w:val="00081BCB"/>
    <w:rsid w:val="00082122"/>
    <w:rsid w:val="00082397"/>
    <w:rsid w:val="000834C0"/>
    <w:rsid w:val="000834C8"/>
    <w:rsid w:val="000838D8"/>
    <w:rsid w:val="00083B20"/>
    <w:rsid w:val="00083E3B"/>
    <w:rsid w:val="000841E8"/>
    <w:rsid w:val="00084696"/>
    <w:rsid w:val="00084B4A"/>
    <w:rsid w:val="00084B75"/>
    <w:rsid w:val="00084BB8"/>
    <w:rsid w:val="00084F26"/>
    <w:rsid w:val="00085201"/>
    <w:rsid w:val="00085C66"/>
    <w:rsid w:val="00085D47"/>
    <w:rsid w:val="000864C0"/>
    <w:rsid w:val="0008686F"/>
    <w:rsid w:val="00086E57"/>
    <w:rsid w:val="00087001"/>
    <w:rsid w:val="00087057"/>
    <w:rsid w:val="0008760A"/>
    <w:rsid w:val="000877D4"/>
    <w:rsid w:val="0008782C"/>
    <w:rsid w:val="00087A10"/>
    <w:rsid w:val="00087E6C"/>
    <w:rsid w:val="00087E81"/>
    <w:rsid w:val="00090628"/>
    <w:rsid w:val="00090A40"/>
    <w:rsid w:val="000914C3"/>
    <w:rsid w:val="00091880"/>
    <w:rsid w:val="00091925"/>
    <w:rsid w:val="00091AA0"/>
    <w:rsid w:val="00092168"/>
    <w:rsid w:val="0009277E"/>
    <w:rsid w:val="0009301A"/>
    <w:rsid w:val="0009326F"/>
    <w:rsid w:val="00093436"/>
    <w:rsid w:val="00093B80"/>
    <w:rsid w:val="00094023"/>
    <w:rsid w:val="0009438B"/>
    <w:rsid w:val="000945CB"/>
    <w:rsid w:val="00094646"/>
    <w:rsid w:val="0009475E"/>
    <w:rsid w:val="00094AD9"/>
    <w:rsid w:val="00094B44"/>
    <w:rsid w:val="00094B60"/>
    <w:rsid w:val="00095147"/>
    <w:rsid w:val="00095A42"/>
    <w:rsid w:val="00095BB3"/>
    <w:rsid w:val="00095D9E"/>
    <w:rsid w:val="00095E23"/>
    <w:rsid w:val="000960A9"/>
    <w:rsid w:val="00096353"/>
    <w:rsid w:val="00096E8D"/>
    <w:rsid w:val="00097A77"/>
    <w:rsid w:val="000A06F4"/>
    <w:rsid w:val="000A06F5"/>
    <w:rsid w:val="000A0911"/>
    <w:rsid w:val="000A1081"/>
    <w:rsid w:val="000A1F8C"/>
    <w:rsid w:val="000A20A7"/>
    <w:rsid w:val="000A261D"/>
    <w:rsid w:val="000A2869"/>
    <w:rsid w:val="000A29ED"/>
    <w:rsid w:val="000A2A5D"/>
    <w:rsid w:val="000A2E62"/>
    <w:rsid w:val="000A326B"/>
    <w:rsid w:val="000A3734"/>
    <w:rsid w:val="000A3AB5"/>
    <w:rsid w:val="000A3D0F"/>
    <w:rsid w:val="000A46D4"/>
    <w:rsid w:val="000A4DC6"/>
    <w:rsid w:val="000A4F3F"/>
    <w:rsid w:val="000A4F88"/>
    <w:rsid w:val="000A506A"/>
    <w:rsid w:val="000A50F5"/>
    <w:rsid w:val="000A5370"/>
    <w:rsid w:val="000A53B9"/>
    <w:rsid w:val="000A5AC8"/>
    <w:rsid w:val="000A5AF9"/>
    <w:rsid w:val="000A5BAB"/>
    <w:rsid w:val="000A6117"/>
    <w:rsid w:val="000A6201"/>
    <w:rsid w:val="000A6844"/>
    <w:rsid w:val="000A6A9C"/>
    <w:rsid w:val="000A6D77"/>
    <w:rsid w:val="000A726F"/>
    <w:rsid w:val="000A73A2"/>
    <w:rsid w:val="000A7604"/>
    <w:rsid w:val="000A7813"/>
    <w:rsid w:val="000A7974"/>
    <w:rsid w:val="000A79CA"/>
    <w:rsid w:val="000A7EA0"/>
    <w:rsid w:val="000B037C"/>
    <w:rsid w:val="000B050B"/>
    <w:rsid w:val="000B0946"/>
    <w:rsid w:val="000B1546"/>
    <w:rsid w:val="000B1701"/>
    <w:rsid w:val="000B1F4F"/>
    <w:rsid w:val="000B21E4"/>
    <w:rsid w:val="000B227F"/>
    <w:rsid w:val="000B22C3"/>
    <w:rsid w:val="000B2468"/>
    <w:rsid w:val="000B268C"/>
    <w:rsid w:val="000B2B89"/>
    <w:rsid w:val="000B2B8D"/>
    <w:rsid w:val="000B2D19"/>
    <w:rsid w:val="000B3B9F"/>
    <w:rsid w:val="000B3C03"/>
    <w:rsid w:val="000B404E"/>
    <w:rsid w:val="000B4988"/>
    <w:rsid w:val="000B4C24"/>
    <w:rsid w:val="000B4ED7"/>
    <w:rsid w:val="000B5116"/>
    <w:rsid w:val="000B5577"/>
    <w:rsid w:val="000B65DE"/>
    <w:rsid w:val="000B683E"/>
    <w:rsid w:val="000B70FA"/>
    <w:rsid w:val="000B755C"/>
    <w:rsid w:val="000B7914"/>
    <w:rsid w:val="000B7B75"/>
    <w:rsid w:val="000B7E2A"/>
    <w:rsid w:val="000C04D0"/>
    <w:rsid w:val="000C0578"/>
    <w:rsid w:val="000C0832"/>
    <w:rsid w:val="000C08D7"/>
    <w:rsid w:val="000C0C99"/>
    <w:rsid w:val="000C1291"/>
    <w:rsid w:val="000C14EB"/>
    <w:rsid w:val="000C3081"/>
    <w:rsid w:val="000C30DB"/>
    <w:rsid w:val="000C3492"/>
    <w:rsid w:val="000C36A7"/>
    <w:rsid w:val="000C36D1"/>
    <w:rsid w:val="000C3781"/>
    <w:rsid w:val="000C4265"/>
    <w:rsid w:val="000C4B0D"/>
    <w:rsid w:val="000C4C1A"/>
    <w:rsid w:val="000C4F67"/>
    <w:rsid w:val="000C514B"/>
    <w:rsid w:val="000C52AD"/>
    <w:rsid w:val="000C56B0"/>
    <w:rsid w:val="000C5E39"/>
    <w:rsid w:val="000C6219"/>
    <w:rsid w:val="000C6470"/>
    <w:rsid w:val="000C6492"/>
    <w:rsid w:val="000C7488"/>
    <w:rsid w:val="000C7805"/>
    <w:rsid w:val="000C78F9"/>
    <w:rsid w:val="000C79F7"/>
    <w:rsid w:val="000C7EDB"/>
    <w:rsid w:val="000C7F13"/>
    <w:rsid w:val="000D01DF"/>
    <w:rsid w:val="000D02E8"/>
    <w:rsid w:val="000D0A1B"/>
    <w:rsid w:val="000D14F6"/>
    <w:rsid w:val="000D1A7E"/>
    <w:rsid w:val="000D1CE2"/>
    <w:rsid w:val="000D1E32"/>
    <w:rsid w:val="000D1EF0"/>
    <w:rsid w:val="000D2266"/>
    <w:rsid w:val="000D2272"/>
    <w:rsid w:val="000D26C3"/>
    <w:rsid w:val="000D289B"/>
    <w:rsid w:val="000D2A49"/>
    <w:rsid w:val="000D2A73"/>
    <w:rsid w:val="000D38FA"/>
    <w:rsid w:val="000D3A96"/>
    <w:rsid w:val="000D3B1B"/>
    <w:rsid w:val="000D41E3"/>
    <w:rsid w:val="000D48A0"/>
    <w:rsid w:val="000D5749"/>
    <w:rsid w:val="000D601F"/>
    <w:rsid w:val="000D6112"/>
    <w:rsid w:val="000D680B"/>
    <w:rsid w:val="000D69EA"/>
    <w:rsid w:val="000D6EEC"/>
    <w:rsid w:val="000D73D2"/>
    <w:rsid w:val="000D7472"/>
    <w:rsid w:val="000D787D"/>
    <w:rsid w:val="000D7C5C"/>
    <w:rsid w:val="000D7ECD"/>
    <w:rsid w:val="000E11D3"/>
    <w:rsid w:val="000E1B84"/>
    <w:rsid w:val="000E1BA3"/>
    <w:rsid w:val="000E295A"/>
    <w:rsid w:val="000E2ADD"/>
    <w:rsid w:val="000E2B82"/>
    <w:rsid w:val="000E2D1A"/>
    <w:rsid w:val="000E3193"/>
    <w:rsid w:val="000E3605"/>
    <w:rsid w:val="000E3C9C"/>
    <w:rsid w:val="000E4370"/>
    <w:rsid w:val="000E4997"/>
    <w:rsid w:val="000E4B9E"/>
    <w:rsid w:val="000E4F2E"/>
    <w:rsid w:val="000E5390"/>
    <w:rsid w:val="000E5789"/>
    <w:rsid w:val="000E6355"/>
    <w:rsid w:val="000E63FA"/>
    <w:rsid w:val="000E64FC"/>
    <w:rsid w:val="000E65C5"/>
    <w:rsid w:val="000E6910"/>
    <w:rsid w:val="000E6D1D"/>
    <w:rsid w:val="000E6EC5"/>
    <w:rsid w:val="000E7036"/>
    <w:rsid w:val="000E7523"/>
    <w:rsid w:val="000E7682"/>
    <w:rsid w:val="000E7F3E"/>
    <w:rsid w:val="000F0044"/>
    <w:rsid w:val="000F058A"/>
    <w:rsid w:val="000F13FA"/>
    <w:rsid w:val="000F1896"/>
    <w:rsid w:val="000F1BC0"/>
    <w:rsid w:val="000F2772"/>
    <w:rsid w:val="000F28A6"/>
    <w:rsid w:val="000F2F36"/>
    <w:rsid w:val="000F3419"/>
    <w:rsid w:val="000F3456"/>
    <w:rsid w:val="000F34AC"/>
    <w:rsid w:val="000F386D"/>
    <w:rsid w:val="000F3F9F"/>
    <w:rsid w:val="000F4270"/>
    <w:rsid w:val="000F4722"/>
    <w:rsid w:val="000F4BBB"/>
    <w:rsid w:val="000F50A6"/>
    <w:rsid w:val="000F53A3"/>
    <w:rsid w:val="000F53B6"/>
    <w:rsid w:val="000F6143"/>
    <w:rsid w:val="000F621B"/>
    <w:rsid w:val="000F7234"/>
    <w:rsid w:val="000F7544"/>
    <w:rsid w:val="00100045"/>
    <w:rsid w:val="001009C2"/>
    <w:rsid w:val="00100AFB"/>
    <w:rsid w:val="00100E0F"/>
    <w:rsid w:val="00102401"/>
    <w:rsid w:val="001025F7"/>
    <w:rsid w:val="001029E2"/>
    <w:rsid w:val="00102A9D"/>
    <w:rsid w:val="00102E6F"/>
    <w:rsid w:val="00103037"/>
    <w:rsid w:val="001046D3"/>
    <w:rsid w:val="0010495C"/>
    <w:rsid w:val="001055B7"/>
    <w:rsid w:val="00105C65"/>
    <w:rsid w:val="0010635E"/>
    <w:rsid w:val="00106400"/>
    <w:rsid w:val="00106508"/>
    <w:rsid w:val="001067BD"/>
    <w:rsid w:val="0010681D"/>
    <w:rsid w:val="001068E3"/>
    <w:rsid w:val="001069D1"/>
    <w:rsid w:val="00106FA2"/>
    <w:rsid w:val="001071D5"/>
    <w:rsid w:val="001072A0"/>
    <w:rsid w:val="0010732A"/>
    <w:rsid w:val="001074EC"/>
    <w:rsid w:val="0010757E"/>
    <w:rsid w:val="0010766C"/>
    <w:rsid w:val="0011113E"/>
    <w:rsid w:val="0011143F"/>
    <w:rsid w:val="00111B8E"/>
    <w:rsid w:val="00111D39"/>
    <w:rsid w:val="0011215C"/>
    <w:rsid w:val="00112288"/>
    <w:rsid w:val="001124AA"/>
    <w:rsid w:val="001124B4"/>
    <w:rsid w:val="0011322D"/>
    <w:rsid w:val="00113242"/>
    <w:rsid w:val="0011327A"/>
    <w:rsid w:val="00113526"/>
    <w:rsid w:val="001135A9"/>
    <w:rsid w:val="00113A65"/>
    <w:rsid w:val="001147B6"/>
    <w:rsid w:val="00114A09"/>
    <w:rsid w:val="00114AB5"/>
    <w:rsid w:val="00114CBA"/>
    <w:rsid w:val="001156A6"/>
    <w:rsid w:val="00115953"/>
    <w:rsid w:val="00115ED3"/>
    <w:rsid w:val="0011701F"/>
    <w:rsid w:val="001173E2"/>
    <w:rsid w:val="00117582"/>
    <w:rsid w:val="0011772F"/>
    <w:rsid w:val="0011777A"/>
    <w:rsid w:val="00117E0C"/>
    <w:rsid w:val="00117E23"/>
    <w:rsid w:val="001209DC"/>
    <w:rsid w:val="00120D07"/>
    <w:rsid w:val="00120EE7"/>
    <w:rsid w:val="001210E4"/>
    <w:rsid w:val="001219C1"/>
    <w:rsid w:val="00121EE3"/>
    <w:rsid w:val="001224F8"/>
    <w:rsid w:val="001227B6"/>
    <w:rsid w:val="001228A9"/>
    <w:rsid w:val="001229E7"/>
    <w:rsid w:val="00122C3A"/>
    <w:rsid w:val="00122CF2"/>
    <w:rsid w:val="0012308C"/>
    <w:rsid w:val="00123130"/>
    <w:rsid w:val="001233D9"/>
    <w:rsid w:val="00123A4F"/>
    <w:rsid w:val="00123E2F"/>
    <w:rsid w:val="001242CB"/>
    <w:rsid w:val="0012470B"/>
    <w:rsid w:val="00124CCB"/>
    <w:rsid w:val="00124F1A"/>
    <w:rsid w:val="0012509E"/>
    <w:rsid w:val="00125431"/>
    <w:rsid w:val="00125596"/>
    <w:rsid w:val="00125C91"/>
    <w:rsid w:val="0012640C"/>
    <w:rsid w:val="0012686A"/>
    <w:rsid w:val="0012694E"/>
    <w:rsid w:val="00126E77"/>
    <w:rsid w:val="001271CA"/>
    <w:rsid w:val="00127347"/>
    <w:rsid w:val="0012768F"/>
    <w:rsid w:val="00127853"/>
    <w:rsid w:val="0012798B"/>
    <w:rsid w:val="00127AC5"/>
    <w:rsid w:val="001305EA"/>
    <w:rsid w:val="00130AE3"/>
    <w:rsid w:val="00130DAD"/>
    <w:rsid w:val="0013140D"/>
    <w:rsid w:val="00131734"/>
    <w:rsid w:val="00131A4A"/>
    <w:rsid w:val="00131BE3"/>
    <w:rsid w:val="00132516"/>
    <w:rsid w:val="00132AAD"/>
    <w:rsid w:val="00133597"/>
    <w:rsid w:val="001335AC"/>
    <w:rsid w:val="00133C4E"/>
    <w:rsid w:val="00134426"/>
    <w:rsid w:val="0013486F"/>
    <w:rsid w:val="00134B16"/>
    <w:rsid w:val="00134B6E"/>
    <w:rsid w:val="00134FAA"/>
    <w:rsid w:val="0013509D"/>
    <w:rsid w:val="0013510B"/>
    <w:rsid w:val="00135133"/>
    <w:rsid w:val="0013559F"/>
    <w:rsid w:val="00135977"/>
    <w:rsid w:val="00136038"/>
    <w:rsid w:val="001369F1"/>
    <w:rsid w:val="00136A9B"/>
    <w:rsid w:val="00137579"/>
    <w:rsid w:val="001403E5"/>
    <w:rsid w:val="001404CB"/>
    <w:rsid w:val="00140951"/>
    <w:rsid w:val="00140E98"/>
    <w:rsid w:val="00140F1D"/>
    <w:rsid w:val="00141106"/>
    <w:rsid w:val="00141625"/>
    <w:rsid w:val="001423E9"/>
    <w:rsid w:val="001426E4"/>
    <w:rsid w:val="0014305F"/>
    <w:rsid w:val="00143B1F"/>
    <w:rsid w:val="00143C65"/>
    <w:rsid w:val="00143E2F"/>
    <w:rsid w:val="00143E59"/>
    <w:rsid w:val="001443D5"/>
    <w:rsid w:val="0014492B"/>
    <w:rsid w:val="00144A80"/>
    <w:rsid w:val="00145656"/>
    <w:rsid w:val="001459FA"/>
    <w:rsid w:val="00145A4E"/>
    <w:rsid w:val="00145A61"/>
    <w:rsid w:val="00145E95"/>
    <w:rsid w:val="00145EF2"/>
    <w:rsid w:val="00146396"/>
    <w:rsid w:val="00147867"/>
    <w:rsid w:val="001500C0"/>
    <w:rsid w:val="0015015B"/>
    <w:rsid w:val="00150186"/>
    <w:rsid w:val="001504BA"/>
    <w:rsid w:val="0015064D"/>
    <w:rsid w:val="001507F8"/>
    <w:rsid w:val="0015093C"/>
    <w:rsid w:val="00150A86"/>
    <w:rsid w:val="00150E15"/>
    <w:rsid w:val="00151029"/>
    <w:rsid w:val="001511BD"/>
    <w:rsid w:val="0015135C"/>
    <w:rsid w:val="001517DA"/>
    <w:rsid w:val="00151A98"/>
    <w:rsid w:val="00151BBF"/>
    <w:rsid w:val="00151FE0"/>
    <w:rsid w:val="001520C9"/>
    <w:rsid w:val="001528FC"/>
    <w:rsid w:val="001529C2"/>
    <w:rsid w:val="00152A61"/>
    <w:rsid w:val="00152AD4"/>
    <w:rsid w:val="00152E48"/>
    <w:rsid w:val="00153280"/>
    <w:rsid w:val="00153489"/>
    <w:rsid w:val="00153788"/>
    <w:rsid w:val="001537DC"/>
    <w:rsid w:val="00153BF0"/>
    <w:rsid w:val="00153D39"/>
    <w:rsid w:val="00154352"/>
    <w:rsid w:val="001546C7"/>
    <w:rsid w:val="0015505E"/>
    <w:rsid w:val="0015615E"/>
    <w:rsid w:val="001562E6"/>
    <w:rsid w:val="001565EB"/>
    <w:rsid w:val="00156D76"/>
    <w:rsid w:val="00156DCD"/>
    <w:rsid w:val="001575FE"/>
    <w:rsid w:val="0015793C"/>
    <w:rsid w:val="00157941"/>
    <w:rsid w:val="00157B65"/>
    <w:rsid w:val="00157F18"/>
    <w:rsid w:val="001600B3"/>
    <w:rsid w:val="00160485"/>
    <w:rsid w:val="00160827"/>
    <w:rsid w:val="001608D0"/>
    <w:rsid w:val="00160D19"/>
    <w:rsid w:val="00161343"/>
    <w:rsid w:val="0016192B"/>
    <w:rsid w:val="00161ADE"/>
    <w:rsid w:val="00161E60"/>
    <w:rsid w:val="001627D8"/>
    <w:rsid w:val="001627F9"/>
    <w:rsid w:val="00162889"/>
    <w:rsid w:val="001628EA"/>
    <w:rsid w:val="00162C82"/>
    <w:rsid w:val="00162E36"/>
    <w:rsid w:val="00162F5C"/>
    <w:rsid w:val="00162FE0"/>
    <w:rsid w:val="00163ECB"/>
    <w:rsid w:val="001644CA"/>
    <w:rsid w:val="001648CD"/>
    <w:rsid w:val="001649CD"/>
    <w:rsid w:val="00164EC7"/>
    <w:rsid w:val="001651E2"/>
    <w:rsid w:val="00165EE8"/>
    <w:rsid w:val="00166B89"/>
    <w:rsid w:val="00166BB6"/>
    <w:rsid w:val="00166CDA"/>
    <w:rsid w:val="00166EC2"/>
    <w:rsid w:val="00166F2D"/>
    <w:rsid w:val="00167180"/>
    <w:rsid w:val="00167245"/>
    <w:rsid w:val="00167610"/>
    <w:rsid w:val="00167684"/>
    <w:rsid w:val="001677C0"/>
    <w:rsid w:val="00167C58"/>
    <w:rsid w:val="00167C5D"/>
    <w:rsid w:val="00167F0C"/>
    <w:rsid w:val="001708A2"/>
    <w:rsid w:val="001712B1"/>
    <w:rsid w:val="00171497"/>
    <w:rsid w:val="00171588"/>
    <w:rsid w:val="001715D2"/>
    <w:rsid w:val="001715D3"/>
    <w:rsid w:val="00171C0B"/>
    <w:rsid w:val="00171FD2"/>
    <w:rsid w:val="001726C1"/>
    <w:rsid w:val="00172703"/>
    <w:rsid w:val="00172981"/>
    <w:rsid w:val="00173490"/>
    <w:rsid w:val="0017373B"/>
    <w:rsid w:val="00173879"/>
    <w:rsid w:val="00173D4F"/>
    <w:rsid w:val="00174E97"/>
    <w:rsid w:val="00176172"/>
    <w:rsid w:val="00176781"/>
    <w:rsid w:val="001768C6"/>
    <w:rsid w:val="001769CF"/>
    <w:rsid w:val="001770A2"/>
    <w:rsid w:val="0017749B"/>
    <w:rsid w:val="001775B5"/>
    <w:rsid w:val="00180032"/>
    <w:rsid w:val="001807F4"/>
    <w:rsid w:val="00180E0F"/>
    <w:rsid w:val="0018138B"/>
    <w:rsid w:val="001814BF"/>
    <w:rsid w:val="0018177F"/>
    <w:rsid w:val="001817ED"/>
    <w:rsid w:val="00181A52"/>
    <w:rsid w:val="00181A8F"/>
    <w:rsid w:val="00182236"/>
    <w:rsid w:val="0018228A"/>
    <w:rsid w:val="00182EF8"/>
    <w:rsid w:val="0018339E"/>
    <w:rsid w:val="0018364F"/>
    <w:rsid w:val="00183CBC"/>
    <w:rsid w:val="00183E85"/>
    <w:rsid w:val="0018429A"/>
    <w:rsid w:val="001847F0"/>
    <w:rsid w:val="00185426"/>
    <w:rsid w:val="001854C6"/>
    <w:rsid w:val="00185F2A"/>
    <w:rsid w:val="00185F50"/>
    <w:rsid w:val="001861A4"/>
    <w:rsid w:val="0018631C"/>
    <w:rsid w:val="00186437"/>
    <w:rsid w:val="00186AB6"/>
    <w:rsid w:val="00187133"/>
    <w:rsid w:val="00187135"/>
    <w:rsid w:val="001874FC"/>
    <w:rsid w:val="00187706"/>
    <w:rsid w:val="00187A5F"/>
    <w:rsid w:val="00187E21"/>
    <w:rsid w:val="00190BF6"/>
    <w:rsid w:val="00190F4C"/>
    <w:rsid w:val="001911BA"/>
    <w:rsid w:val="00191377"/>
    <w:rsid w:val="001916E5"/>
    <w:rsid w:val="001917DC"/>
    <w:rsid w:val="00191A16"/>
    <w:rsid w:val="00191EE7"/>
    <w:rsid w:val="0019346A"/>
    <w:rsid w:val="001937F6"/>
    <w:rsid w:val="00193ADB"/>
    <w:rsid w:val="00193B43"/>
    <w:rsid w:val="00193FF1"/>
    <w:rsid w:val="00193FF5"/>
    <w:rsid w:val="0019409A"/>
    <w:rsid w:val="00194201"/>
    <w:rsid w:val="0019425F"/>
    <w:rsid w:val="0019446A"/>
    <w:rsid w:val="001945C6"/>
    <w:rsid w:val="001948AC"/>
    <w:rsid w:val="001948BF"/>
    <w:rsid w:val="00194F8A"/>
    <w:rsid w:val="00195593"/>
    <w:rsid w:val="001956A4"/>
    <w:rsid w:val="00195D6D"/>
    <w:rsid w:val="0019620F"/>
    <w:rsid w:val="00196DEB"/>
    <w:rsid w:val="00196E96"/>
    <w:rsid w:val="00196F43"/>
    <w:rsid w:val="00197053"/>
    <w:rsid w:val="001970AD"/>
    <w:rsid w:val="001972F3"/>
    <w:rsid w:val="00197C2E"/>
    <w:rsid w:val="00197DDE"/>
    <w:rsid w:val="00197F67"/>
    <w:rsid w:val="001A0189"/>
    <w:rsid w:val="001A104D"/>
    <w:rsid w:val="001A10CC"/>
    <w:rsid w:val="001A13DD"/>
    <w:rsid w:val="001A17C4"/>
    <w:rsid w:val="001A1800"/>
    <w:rsid w:val="001A1C89"/>
    <w:rsid w:val="001A201D"/>
    <w:rsid w:val="001A2209"/>
    <w:rsid w:val="001A2560"/>
    <w:rsid w:val="001A2A1B"/>
    <w:rsid w:val="001A2E5E"/>
    <w:rsid w:val="001A2F37"/>
    <w:rsid w:val="001A31FA"/>
    <w:rsid w:val="001A3CAD"/>
    <w:rsid w:val="001A487E"/>
    <w:rsid w:val="001A4B7A"/>
    <w:rsid w:val="001A4C30"/>
    <w:rsid w:val="001A4D78"/>
    <w:rsid w:val="001A52D4"/>
    <w:rsid w:val="001A53B0"/>
    <w:rsid w:val="001A53DF"/>
    <w:rsid w:val="001A5868"/>
    <w:rsid w:val="001A59B5"/>
    <w:rsid w:val="001A6159"/>
    <w:rsid w:val="001A6235"/>
    <w:rsid w:val="001A6301"/>
    <w:rsid w:val="001A71A4"/>
    <w:rsid w:val="001A7230"/>
    <w:rsid w:val="001A7850"/>
    <w:rsid w:val="001B1559"/>
    <w:rsid w:val="001B161B"/>
    <w:rsid w:val="001B2C3B"/>
    <w:rsid w:val="001B39BD"/>
    <w:rsid w:val="001B3CA9"/>
    <w:rsid w:val="001B3E60"/>
    <w:rsid w:val="001B3E9D"/>
    <w:rsid w:val="001B4ABB"/>
    <w:rsid w:val="001B4B68"/>
    <w:rsid w:val="001B4F41"/>
    <w:rsid w:val="001B557C"/>
    <w:rsid w:val="001B5A9C"/>
    <w:rsid w:val="001B5E60"/>
    <w:rsid w:val="001B61D8"/>
    <w:rsid w:val="001B68E0"/>
    <w:rsid w:val="001B6EA9"/>
    <w:rsid w:val="001B70AF"/>
    <w:rsid w:val="001B722D"/>
    <w:rsid w:val="001B72AE"/>
    <w:rsid w:val="001B7749"/>
    <w:rsid w:val="001C054D"/>
    <w:rsid w:val="001C1216"/>
    <w:rsid w:val="001C13F9"/>
    <w:rsid w:val="001C14C6"/>
    <w:rsid w:val="001C175B"/>
    <w:rsid w:val="001C1BD5"/>
    <w:rsid w:val="001C1C4A"/>
    <w:rsid w:val="001C1CDE"/>
    <w:rsid w:val="001C23BD"/>
    <w:rsid w:val="001C24F1"/>
    <w:rsid w:val="001C2584"/>
    <w:rsid w:val="001C2887"/>
    <w:rsid w:val="001C330C"/>
    <w:rsid w:val="001C33E8"/>
    <w:rsid w:val="001C3594"/>
    <w:rsid w:val="001C38FD"/>
    <w:rsid w:val="001C3F9F"/>
    <w:rsid w:val="001C4188"/>
    <w:rsid w:val="001C43C3"/>
    <w:rsid w:val="001C4B00"/>
    <w:rsid w:val="001C4D7B"/>
    <w:rsid w:val="001C539D"/>
    <w:rsid w:val="001C5439"/>
    <w:rsid w:val="001C55AB"/>
    <w:rsid w:val="001C5778"/>
    <w:rsid w:val="001C5EE5"/>
    <w:rsid w:val="001C5F50"/>
    <w:rsid w:val="001C5F6E"/>
    <w:rsid w:val="001C6200"/>
    <w:rsid w:val="001C6BCF"/>
    <w:rsid w:val="001C7452"/>
    <w:rsid w:val="001C753F"/>
    <w:rsid w:val="001C770F"/>
    <w:rsid w:val="001C790B"/>
    <w:rsid w:val="001C7CA4"/>
    <w:rsid w:val="001C7E18"/>
    <w:rsid w:val="001C7F99"/>
    <w:rsid w:val="001C7FEB"/>
    <w:rsid w:val="001D0165"/>
    <w:rsid w:val="001D04D2"/>
    <w:rsid w:val="001D067F"/>
    <w:rsid w:val="001D0802"/>
    <w:rsid w:val="001D09DD"/>
    <w:rsid w:val="001D0C9D"/>
    <w:rsid w:val="001D0E29"/>
    <w:rsid w:val="001D1455"/>
    <w:rsid w:val="001D193A"/>
    <w:rsid w:val="001D1A17"/>
    <w:rsid w:val="001D1A49"/>
    <w:rsid w:val="001D2A45"/>
    <w:rsid w:val="001D2E5C"/>
    <w:rsid w:val="001D2E91"/>
    <w:rsid w:val="001D2F68"/>
    <w:rsid w:val="001D323F"/>
    <w:rsid w:val="001D360A"/>
    <w:rsid w:val="001D36A5"/>
    <w:rsid w:val="001D3E57"/>
    <w:rsid w:val="001D4070"/>
    <w:rsid w:val="001D4096"/>
    <w:rsid w:val="001D44A5"/>
    <w:rsid w:val="001D4AB6"/>
    <w:rsid w:val="001D503E"/>
    <w:rsid w:val="001D5429"/>
    <w:rsid w:val="001D5449"/>
    <w:rsid w:val="001D5CF2"/>
    <w:rsid w:val="001D6224"/>
    <w:rsid w:val="001D641D"/>
    <w:rsid w:val="001D6764"/>
    <w:rsid w:val="001D68DF"/>
    <w:rsid w:val="001D69CF"/>
    <w:rsid w:val="001D6D02"/>
    <w:rsid w:val="001D715D"/>
    <w:rsid w:val="001D71D1"/>
    <w:rsid w:val="001D7BD0"/>
    <w:rsid w:val="001E00E2"/>
    <w:rsid w:val="001E0850"/>
    <w:rsid w:val="001E093A"/>
    <w:rsid w:val="001E0B0B"/>
    <w:rsid w:val="001E0F20"/>
    <w:rsid w:val="001E0F73"/>
    <w:rsid w:val="001E11BA"/>
    <w:rsid w:val="001E168C"/>
    <w:rsid w:val="001E178B"/>
    <w:rsid w:val="001E18DA"/>
    <w:rsid w:val="001E1B9C"/>
    <w:rsid w:val="001E1BD8"/>
    <w:rsid w:val="001E1C15"/>
    <w:rsid w:val="001E2211"/>
    <w:rsid w:val="001E24A4"/>
    <w:rsid w:val="001E2BF3"/>
    <w:rsid w:val="001E3011"/>
    <w:rsid w:val="001E35F5"/>
    <w:rsid w:val="001E3B3E"/>
    <w:rsid w:val="001E3DA6"/>
    <w:rsid w:val="001E4367"/>
    <w:rsid w:val="001E439E"/>
    <w:rsid w:val="001E46FC"/>
    <w:rsid w:val="001E4C01"/>
    <w:rsid w:val="001E510A"/>
    <w:rsid w:val="001E5AD1"/>
    <w:rsid w:val="001E5AEB"/>
    <w:rsid w:val="001E5D45"/>
    <w:rsid w:val="001E5F38"/>
    <w:rsid w:val="001E632E"/>
    <w:rsid w:val="001E6900"/>
    <w:rsid w:val="001E7059"/>
    <w:rsid w:val="001E74F1"/>
    <w:rsid w:val="001E7895"/>
    <w:rsid w:val="001E7B72"/>
    <w:rsid w:val="001F00D7"/>
    <w:rsid w:val="001F04E4"/>
    <w:rsid w:val="001F0821"/>
    <w:rsid w:val="001F08D9"/>
    <w:rsid w:val="001F0BF9"/>
    <w:rsid w:val="001F0D22"/>
    <w:rsid w:val="001F0DBB"/>
    <w:rsid w:val="001F132D"/>
    <w:rsid w:val="001F134C"/>
    <w:rsid w:val="001F15FA"/>
    <w:rsid w:val="001F1C7B"/>
    <w:rsid w:val="001F1CBF"/>
    <w:rsid w:val="001F1F5F"/>
    <w:rsid w:val="001F21C3"/>
    <w:rsid w:val="001F2344"/>
    <w:rsid w:val="001F27C7"/>
    <w:rsid w:val="001F27D9"/>
    <w:rsid w:val="001F2865"/>
    <w:rsid w:val="001F2BF1"/>
    <w:rsid w:val="001F30F8"/>
    <w:rsid w:val="001F3273"/>
    <w:rsid w:val="001F362F"/>
    <w:rsid w:val="001F3921"/>
    <w:rsid w:val="001F3976"/>
    <w:rsid w:val="001F43C3"/>
    <w:rsid w:val="001F4F91"/>
    <w:rsid w:val="001F5271"/>
    <w:rsid w:val="001F5371"/>
    <w:rsid w:val="001F53FC"/>
    <w:rsid w:val="001F54EB"/>
    <w:rsid w:val="001F5540"/>
    <w:rsid w:val="001F5C90"/>
    <w:rsid w:val="001F5CF3"/>
    <w:rsid w:val="001F5E87"/>
    <w:rsid w:val="001F5ED7"/>
    <w:rsid w:val="001F5F0D"/>
    <w:rsid w:val="001F623D"/>
    <w:rsid w:val="001F62A3"/>
    <w:rsid w:val="001F6359"/>
    <w:rsid w:val="001F6486"/>
    <w:rsid w:val="001F6B2F"/>
    <w:rsid w:val="001F6BF1"/>
    <w:rsid w:val="001F6EFB"/>
    <w:rsid w:val="001F71AE"/>
    <w:rsid w:val="00200159"/>
    <w:rsid w:val="00200468"/>
    <w:rsid w:val="00200B48"/>
    <w:rsid w:val="00200B73"/>
    <w:rsid w:val="00200EA5"/>
    <w:rsid w:val="00201034"/>
    <w:rsid w:val="002015C1"/>
    <w:rsid w:val="00201D4A"/>
    <w:rsid w:val="002024DF"/>
    <w:rsid w:val="002028C2"/>
    <w:rsid w:val="0020294C"/>
    <w:rsid w:val="00202B20"/>
    <w:rsid w:val="0020308A"/>
    <w:rsid w:val="00203C97"/>
    <w:rsid w:val="0020494D"/>
    <w:rsid w:val="002050D0"/>
    <w:rsid w:val="002055C7"/>
    <w:rsid w:val="002056B7"/>
    <w:rsid w:val="002057BF"/>
    <w:rsid w:val="002059F8"/>
    <w:rsid w:val="00205B6B"/>
    <w:rsid w:val="00205EAC"/>
    <w:rsid w:val="00206336"/>
    <w:rsid w:val="002065F2"/>
    <w:rsid w:val="00206652"/>
    <w:rsid w:val="0020665D"/>
    <w:rsid w:val="00206804"/>
    <w:rsid w:val="00206BAE"/>
    <w:rsid w:val="00206BAF"/>
    <w:rsid w:val="00206F02"/>
    <w:rsid w:val="002071DB"/>
    <w:rsid w:val="002073E1"/>
    <w:rsid w:val="002073EC"/>
    <w:rsid w:val="00207628"/>
    <w:rsid w:val="002076B6"/>
    <w:rsid w:val="002076F2"/>
    <w:rsid w:val="00207A6F"/>
    <w:rsid w:val="00207E35"/>
    <w:rsid w:val="00207EC9"/>
    <w:rsid w:val="00207EE7"/>
    <w:rsid w:val="00210248"/>
    <w:rsid w:val="0021041B"/>
    <w:rsid w:val="00210A71"/>
    <w:rsid w:val="00211591"/>
    <w:rsid w:val="002117A5"/>
    <w:rsid w:val="002117F0"/>
    <w:rsid w:val="00211C97"/>
    <w:rsid w:val="002127DC"/>
    <w:rsid w:val="00213AF4"/>
    <w:rsid w:val="00214107"/>
    <w:rsid w:val="002144D8"/>
    <w:rsid w:val="002147B1"/>
    <w:rsid w:val="002148AC"/>
    <w:rsid w:val="00215041"/>
    <w:rsid w:val="002153EE"/>
    <w:rsid w:val="0021565D"/>
    <w:rsid w:val="00215723"/>
    <w:rsid w:val="00215817"/>
    <w:rsid w:val="0021592F"/>
    <w:rsid w:val="002167D9"/>
    <w:rsid w:val="00216E6F"/>
    <w:rsid w:val="002171AF"/>
    <w:rsid w:val="002176B6"/>
    <w:rsid w:val="00217851"/>
    <w:rsid w:val="002201E4"/>
    <w:rsid w:val="00220555"/>
    <w:rsid w:val="00220558"/>
    <w:rsid w:val="00220589"/>
    <w:rsid w:val="002205F6"/>
    <w:rsid w:val="0022072A"/>
    <w:rsid w:val="00220B52"/>
    <w:rsid w:val="00220C12"/>
    <w:rsid w:val="002211AF"/>
    <w:rsid w:val="00221444"/>
    <w:rsid w:val="0022165F"/>
    <w:rsid w:val="0022179F"/>
    <w:rsid w:val="00221D63"/>
    <w:rsid w:val="00222456"/>
    <w:rsid w:val="00222B90"/>
    <w:rsid w:val="00222C5B"/>
    <w:rsid w:val="00223123"/>
    <w:rsid w:val="00223448"/>
    <w:rsid w:val="00223520"/>
    <w:rsid w:val="002235CF"/>
    <w:rsid w:val="00223655"/>
    <w:rsid w:val="0022390B"/>
    <w:rsid w:val="00223EFB"/>
    <w:rsid w:val="00224569"/>
    <w:rsid w:val="00224721"/>
    <w:rsid w:val="002250D7"/>
    <w:rsid w:val="00225577"/>
    <w:rsid w:val="002258F1"/>
    <w:rsid w:val="00225A55"/>
    <w:rsid w:val="00225BA6"/>
    <w:rsid w:val="002265E6"/>
    <w:rsid w:val="00226756"/>
    <w:rsid w:val="002267EA"/>
    <w:rsid w:val="00226955"/>
    <w:rsid w:val="002269CE"/>
    <w:rsid w:val="00226BAC"/>
    <w:rsid w:val="00227571"/>
    <w:rsid w:val="00227C46"/>
    <w:rsid w:val="00227E60"/>
    <w:rsid w:val="00230637"/>
    <w:rsid w:val="00230BF7"/>
    <w:rsid w:val="00231075"/>
    <w:rsid w:val="00231195"/>
    <w:rsid w:val="00231875"/>
    <w:rsid w:val="0023190A"/>
    <w:rsid w:val="00232578"/>
    <w:rsid w:val="002329F7"/>
    <w:rsid w:val="0023317E"/>
    <w:rsid w:val="002335F0"/>
    <w:rsid w:val="00234109"/>
    <w:rsid w:val="0023433D"/>
    <w:rsid w:val="0023438C"/>
    <w:rsid w:val="00234391"/>
    <w:rsid w:val="002343B5"/>
    <w:rsid w:val="002343CA"/>
    <w:rsid w:val="0023508D"/>
    <w:rsid w:val="0023575E"/>
    <w:rsid w:val="002357A3"/>
    <w:rsid w:val="00236687"/>
    <w:rsid w:val="00236A8A"/>
    <w:rsid w:val="00236B5F"/>
    <w:rsid w:val="00237048"/>
    <w:rsid w:val="00237979"/>
    <w:rsid w:val="00237AA1"/>
    <w:rsid w:val="00237AD9"/>
    <w:rsid w:val="002402A2"/>
    <w:rsid w:val="0024031E"/>
    <w:rsid w:val="002403CA"/>
    <w:rsid w:val="00240610"/>
    <w:rsid w:val="00240A91"/>
    <w:rsid w:val="00240CDB"/>
    <w:rsid w:val="002414F5"/>
    <w:rsid w:val="002415E1"/>
    <w:rsid w:val="002418E6"/>
    <w:rsid w:val="00241E92"/>
    <w:rsid w:val="00242A73"/>
    <w:rsid w:val="00242D11"/>
    <w:rsid w:val="002431E9"/>
    <w:rsid w:val="00243207"/>
    <w:rsid w:val="002432B4"/>
    <w:rsid w:val="002436B4"/>
    <w:rsid w:val="00243A9F"/>
    <w:rsid w:val="00243D19"/>
    <w:rsid w:val="00243D59"/>
    <w:rsid w:val="00244009"/>
    <w:rsid w:val="002440D7"/>
    <w:rsid w:val="00244415"/>
    <w:rsid w:val="002445E6"/>
    <w:rsid w:val="00244849"/>
    <w:rsid w:val="00244856"/>
    <w:rsid w:val="00244919"/>
    <w:rsid w:val="00244AE8"/>
    <w:rsid w:val="00244CC8"/>
    <w:rsid w:val="00244D4B"/>
    <w:rsid w:val="00245231"/>
    <w:rsid w:val="0024528D"/>
    <w:rsid w:val="00245531"/>
    <w:rsid w:val="002457F1"/>
    <w:rsid w:val="00245F2B"/>
    <w:rsid w:val="00245F53"/>
    <w:rsid w:val="00245FBF"/>
    <w:rsid w:val="00246082"/>
    <w:rsid w:val="00246169"/>
    <w:rsid w:val="00246AE7"/>
    <w:rsid w:val="002471AF"/>
    <w:rsid w:val="00247BA9"/>
    <w:rsid w:val="00247F00"/>
    <w:rsid w:val="00250081"/>
    <w:rsid w:val="00250CA7"/>
    <w:rsid w:val="00250FCB"/>
    <w:rsid w:val="002511F3"/>
    <w:rsid w:val="00251AC9"/>
    <w:rsid w:val="00251B33"/>
    <w:rsid w:val="00251D03"/>
    <w:rsid w:val="00251FBC"/>
    <w:rsid w:val="0025257C"/>
    <w:rsid w:val="0025295C"/>
    <w:rsid w:val="00252B2D"/>
    <w:rsid w:val="00252C7C"/>
    <w:rsid w:val="00252EC4"/>
    <w:rsid w:val="002535D1"/>
    <w:rsid w:val="00253DEF"/>
    <w:rsid w:val="002542B6"/>
    <w:rsid w:val="0025452F"/>
    <w:rsid w:val="00254CFE"/>
    <w:rsid w:val="00255393"/>
    <w:rsid w:val="00255C3C"/>
    <w:rsid w:val="00255EE6"/>
    <w:rsid w:val="00256645"/>
    <w:rsid w:val="0025675D"/>
    <w:rsid w:val="00256CCF"/>
    <w:rsid w:val="00256F5C"/>
    <w:rsid w:val="002579DE"/>
    <w:rsid w:val="00257B8B"/>
    <w:rsid w:val="002600D6"/>
    <w:rsid w:val="002600F3"/>
    <w:rsid w:val="00260AC4"/>
    <w:rsid w:val="00260EC3"/>
    <w:rsid w:val="00260F1B"/>
    <w:rsid w:val="00261199"/>
    <w:rsid w:val="00261436"/>
    <w:rsid w:val="00261B77"/>
    <w:rsid w:val="00261D2A"/>
    <w:rsid w:val="00262AF4"/>
    <w:rsid w:val="00262E09"/>
    <w:rsid w:val="0026363B"/>
    <w:rsid w:val="00263C9F"/>
    <w:rsid w:val="00264006"/>
    <w:rsid w:val="00264DB0"/>
    <w:rsid w:val="00265120"/>
    <w:rsid w:val="00265C0E"/>
    <w:rsid w:val="00265C94"/>
    <w:rsid w:val="00265CD1"/>
    <w:rsid w:val="00265DCD"/>
    <w:rsid w:val="00265F5A"/>
    <w:rsid w:val="00266A8F"/>
    <w:rsid w:val="00266B14"/>
    <w:rsid w:val="00266BDC"/>
    <w:rsid w:val="00266C06"/>
    <w:rsid w:val="00266FC6"/>
    <w:rsid w:val="00267445"/>
    <w:rsid w:val="00267541"/>
    <w:rsid w:val="00267632"/>
    <w:rsid w:val="0026790D"/>
    <w:rsid w:val="00267988"/>
    <w:rsid w:val="00267B07"/>
    <w:rsid w:val="00270796"/>
    <w:rsid w:val="002709CD"/>
    <w:rsid w:val="0027119B"/>
    <w:rsid w:val="002719CA"/>
    <w:rsid w:val="00271BB9"/>
    <w:rsid w:val="00271C98"/>
    <w:rsid w:val="002723C9"/>
    <w:rsid w:val="002729AE"/>
    <w:rsid w:val="00272AFC"/>
    <w:rsid w:val="00272F24"/>
    <w:rsid w:val="00273031"/>
    <w:rsid w:val="002735EB"/>
    <w:rsid w:val="0027394C"/>
    <w:rsid w:val="00273C6B"/>
    <w:rsid w:val="00273DF7"/>
    <w:rsid w:val="0027524F"/>
    <w:rsid w:val="00275455"/>
    <w:rsid w:val="00275A73"/>
    <w:rsid w:val="002761EF"/>
    <w:rsid w:val="00276616"/>
    <w:rsid w:val="00276A5C"/>
    <w:rsid w:val="00276B52"/>
    <w:rsid w:val="002770D4"/>
    <w:rsid w:val="002771C4"/>
    <w:rsid w:val="002777F2"/>
    <w:rsid w:val="00277C58"/>
    <w:rsid w:val="00280097"/>
    <w:rsid w:val="0028075F"/>
    <w:rsid w:val="002808D1"/>
    <w:rsid w:val="00280CBA"/>
    <w:rsid w:val="00281799"/>
    <w:rsid w:val="00281B1B"/>
    <w:rsid w:val="00281BFE"/>
    <w:rsid w:val="00281E00"/>
    <w:rsid w:val="00281E44"/>
    <w:rsid w:val="0028214B"/>
    <w:rsid w:val="00282A0B"/>
    <w:rsid w:val="00282A97"/>
    <w:rsid w:val="00282A98"/>
    <w:rsid w:val="00282CB4"/>
    <w:rsid w:val="002831A8"/>
    <w:rsid w:val="00283DCE"/>
    <w:rsid w:val="00283ED8"/>
    <w:rsid w:val="00283F80"/>
    <w:rsid w:val="00284178"/>
    <w:rsid w:val="0028427F"/>
    <w:rsid w:val="00284F67"/>
    <w:rsid w:val="00284FA5"/>
    <w:rsid w:val="002853B1"/>
    <w:rsid w:val="002859DA"/>
    <w:rsid w:val="00285AB9"/>
    <w:rsid w:val="002868A7"/>
    <w:rsid w:val="00286C38"/>
    <w:rsid w:val="00287036"/>
    <w:rsid w:val="00287191"/>
    <w:rsid w:val="00287285"/>
    <w:rsid w:val="002872CF"/>
    <w:rsid w:val="00287E78"/>
    <w:rsid w:val="0029021F"/>
    <w:rsid w:val="0029032F"/>
    <w:rsid w:val="00290B50"/>
    <w:rsid w:val="002910FD"/>
    <w:rsid w:val="002912E6"/>
    <w:rsid w:val="002912FA"/>
    <w:rsid w:val="00291663"/>
    <w:rsid w:val="002916F7"/>
    <w:rsid w:val="00291D36"/>
    <w:rsid w:val="00292206"/>
    <w:rsid w:val="002922A6"/>
    <w:rsid w:val="00292311"/>
    <w:rsid w:val="0029318E"/>
    <w:rsid w:val="002932C2"/>
    <w:rsid w:val="002933E5"/>
    <w:rsid w:val="002935B9"/>
    <w:rsid w:val="00293638"/>
    <w:rsid w:val="0029398F"/>
    <w:rsid w:val="00294A63"/>
    <w:rsid w:val="00294AAE"/>
    <w:rsid w:val="00295252"/>
    <w:rsid w:val="002953F4"/>
    <w:rsid w:val="0029664E"/>
    <w:rsid w:val="002966E7"/>
    <w:rsid w:val="00297E7E"/>
    <w:rsid w:val="002A01EF"/>
    <w:rsid w:val="002A04F0"/>
    <w:rsid w:val="002A0A60"/>
    <w:rsid w:val="002A0BC4"/>
    <w:rsid w:val="002A1012"/>
    <w:rsid w:val="002A27B2"/>
    <w:rsid w:val="002A3126"/>
    <w:rsid w:val="002A31D3"/>
    <w:rsid w:val="002A35C9"/>
    <w:rsid w:val="002A3B6B"/>
    <w:rsid w:val="002A4066"/>
    <w:rsid w:val="002A42EC"/>
    <w:rsid w:val="002A46D2"/>
    <w:rsid w:val="002A506A"/>
    <w:rsid w:val="002A526B"/>
    <w:rsid w:val="002A58B2"/>
    <w:rsid w:val="002A58CF"/>
    <w:rsid w:val="002A5A5C"/>
    <w:rsid w:val="002A63F0"/>
    <w:rsid w:val="002A64E6"/>
    <w:rsid w:val="002A68FF"/>
    <w:rsid w:val="002A698D"/>
    <w:rsid w:val="002A6E9C"/>
    <w:rsid w:val="002A75A6"/>
    <w:rsid w:val="002A7B93"/>
    <w:rsid w:val="002B044C"/>
    <w:rsid w:val="002B0575"/>
    <w:rsid w:val="002B0630"/>
    <w:rsid w:val="002B0731"/>
    <w:rsid w:val="002B0A9F"/>
    <w:rsid w:val="002B0BDD"/>
    <w:rsid w:val="002B0F0B"/>
    <w:rsid w:val="002B198C"/>
    <w:rsid w:val="002B1BEE"/>
    <w:rsid w:val="002B1CDA"/>
    <w:rsid w:val="002B1EDE"/>
    <w:rsid w:val="002B256E"/>
    <w:rsid w:val="002B2607"/>
    <w:rsid w:val="002B2BEC"/>
    <w:rsid w:val="002B2FB5"/>
    <w:rsid w:val="002B3021"/>
    <w:rsid w:val="002B37EC"/>
    <w:rsid w:val="002B3887"/>
    <w:rsid w:val="002B426E"/>
    <w:rsid w:val="002B4423"/>
    <w:rsid w:val="002B4D13"/>
    <w:rsid w:val="002B4E86"/>
    <w:rsid w:val="002B4FAE"/>
    <w:rsid w:val="002B5015"/>
    <w:rsid w:val="002B5033"/>
    <w:rsid w:val="002B5083"/>
    <w:rsid w:val="002B5125"/>
    <w:rsid w:val="002B542D"/>
    <w:rsid w:val="002B57CD"/>
    <w:rsid w:val="002B58AE"/>
    <w:rsid w:val="002B5B9E"/>
    <w:rsid w:val="002B5BCE"/>
    <w:rsid w:val="002B5C14"/>
    <w:rsid w:val="002B5CF2"/>
    <w:rsid w:val="002B624B"/>
    <w:rsid w:val="002B63EE"/>
    <w:rsid w:val="002B7C2F"/>
    <w:rsid w:val="002B7E95"/>
    <w:rsid w:val="002B7F7C"/>
    <w:rsid w:val="002B7FE6"/>
    <w:rsid w:val="002C0280"/>
    <w:rsid w:val="002C0A37"/>
    <w:rsid w:val="002C0AAE"/>
    <w:rsid w:val="002C0BE5"/>
    <w:rsid w:val="002C0DC0"/>
    <w:rsid w:val="002C0E5E"/>
    <w:rsid w:val="002C1428"/>
    <w:rsid w:val="002C1503"/>
    <w:rsid w:val="002C1C19"/>
    <w:rsid w:val="002C1FEB"/>
    <w:rsid w:val="002C2357"/>
    <w:rsid w:val="002C23A0"/>
    <w:rsid w:val="002C28B4"/>
    <w:rsid w:val="002C2DBB"/>
    <w:rsid w:val="002C2E4D"/>
    <w:rsid w:val="002C31D5"/>
    <w:rsid w:val="002C3469"/>
    <w:rsid w:val="002C366C"/>
    <w:rsid w:val="002C384D"/>
    <w:rsid w:val="002C3868"/>
    <w:rsid w:val="002C3AC9"/>
    <w:rsid w:val="002C3F8A"/>
    <w:rsid w:val="002C4406"/>
    <w:rsid w:val="002C4528"/>
    <w:rsid w:val="002C4D4B"/>
    <w:rsid w:val="002C4EE9"/>
    <w:rsid w:val="002C55E8"/>
    <w:rsid w:val="002C5C72"/>
    <w:rsid w:val="002C5CBD"/>
    <w:rsid w:val="002C6086"/>
    <w:rsid w:val="002C60C8"/>
    <w:rsid w:val="002C6310"/>
    <w:rsid w:val="002C63BE"/>
    <w:rsid w:val="002C7106"/>
    <w:rsid w:val="002C71E3"/>
    <w:rsid w:val="002C73BA"/>
    <w:rsid w:val="002C7531"/>
    <w:rsid w:val="002C77CB"/>
    <w:rsid w:val="002C7874"/>
    <w:rsid w:val="002C7B6C"/>
    <w:rsid w:val="002C7E11"/>
    <w:rsid w:val="002D006C"/>
    <w:rsid w:val="002D011F"/>
    <w:rsid w:val="002D04E4"/>
    <w:rsid w:val="002D0954"/>
    <w:rsid w:val="002D103B"/>
    <w:rsid w:val="002D1209"/>
    <w:rsid w:val="002D2332"/>
    <w:rsid w:val="002D24F4"/>
    <w:rsid w:val="002D2D30"/>
    <w:rsid w:val="002D342F"/>
    <w:rsid w:val="002D38EB"/>
    <w:rsid w:val="002D3954"/>
    <w:rsid w:val="002D3FB0"/>
    <w:rsid w:val="002D409C"/>
    <w:rsid w:val="002D4780"/>
    <w:rsid w:val="002D4B71"/>
    <w:rsid w:val="002D4D04"/>
    <w:rsid w:val="002D4FA7"/>
    <w:rsid w:val="002D595E"/>
    <w:rsid w:val="002D5BDF"/>
    <w:rsid w:val="002D65FD"/>
    <w:rsid w:val="002D69E5"/>
    <w:rsid w:val="002D6A81"/>
    <w:rsid w:val="002D6FD2"/>
    <w:rsid w:val="002D7150"/>
    <w:rsid w:val="002D741F"/>
    <w:rsid w:val="002D7ABA"/>
    <w:rsid w:val="002E01C6"/>
    <w:rsid w:val="002E0537"/>
    <w:rsid w:val="002E065A"/>
    <w:rsid w:val="002E081E"/>
    <w:rsid w:val="002E083A"/>
    <w:rsid w:val="002E0ADC"/>
    <w:rsid w:val="002E0B51"/>
    <w:rsid w:val="002E0DE2"/>
    <w:rsid w:val="002E0F70"/>
    <w:rsid w:val="002E1417"/>
    <w:rsid w:val="002E1D53"/>
    <w:rsid w:val="002E1EF8"/>
    <w:rsid w:val="002E243C"/>
    <w:rsid w:val="002E270E"/>
    <w:rsid w:val="002E2786"/>
    <w:rsid w:val="002E2864"/>
    <w:rsid w:val="002E2B7C"/>
    <w:rsid w:val="002E34EE"/>
    <w:rsid w:val="002E34F9"/>
    <w:rsid w:val="002E3B2F"/>
    <w:rsid w:val="002E3FEE"/>
    <w:rsid w:val="002E40F9"/>
    <w:rsid w:val="002E41B3"/>
    <w:rsid w:val="002E4D51"/>
    <w:rsid w:val="002E584C"/>
    <w:rsid w:val="002E5918"/>
    <w:rsid w:val="002E61BC"/>
    <w:rsid w:val="002E6713"/>
    <w:rsid w:val="002E6A6A"/>
    <w:rsid w:val="002E6AC3"/>
    <w:rsid w:val="002E6D6D"/>
    <w:rsid w:val="002E7755"/>
    <w:rsid w:val="002E7C1F"/>
    <w:rsid w:val="002E7E91"/>
    <w:rsid w:val="002F0EFB"/>
    <w:rsid w:val="002F0F0D"/>
    <w:rsid w:val="002F1578"/>
    <w:rsid w:val="002F16CD"/>
    <w:rsid w:val="002F1A54"/>
    <w:rsid w:val="002F1C50"/>
    <w:rsid w:val="002F1CC8"/>
    <w:rsid w:val="002F1DDC"/>
    <w:rsid w:val="002F2445"/>
    <w:rsid w:val="002F2584"/>
    <w:rsid w:val="002F27B4"/>
    <w:rsid w:val="002F27BE"/>
    <w:rsid w:val="002F2E84"/>
    <w:rsid w:val="002F2F61"/>
    <w:rsid w:val="002F306D"/>
    <w:rsid w:val="002F30D3"/>
    <w:rsid w:val="002F3A5E"/>
    <w:rsid w:val="002F3F3A"/>
    <w:rsid w:val="002F4063"/>
    <w:rsid w:val="002F47EE"/>
    <w:rsid w:val="002F4A2D"/>
    <w:rsid w:val="002F4AAD"/>
    <w:rsid w:val="002F4B02"/>
    <w:rsid w:val="002F4CB0"/>
    <w:rsid w:val="002F4FCA"/>
    <w:rsid w:val="002F5068"/>
    <w:rsid w:val="002F5534"/>
    <w:rsid w:val="002F609A"/>
    <w:rsid w:val="002F6151"/>
    <w:rsid w:val="002F6D65"/>
    <w:rsid w:val="002F6E33"/>
    <w:rsid w:val="002F7BFB"/>
    <w:rsid w:val="002F7F3F"/>
    <w:rsid w:val="00300127"/>
    <w:rsid w:val="00300560"/>
    <w:rsid w:val="00300F0A"/>
    <w:rsid w:val="00301086"/>
    <w:rsid w:val="00301606"/>
    <w:rsid w:val="0030188B"/>
    <w:rsid w:val="0030208F"/>
    <w:rsid w:val="0030225A"/>
    <w:rsid w:val="0030283F"/>
    <w:rsid w:val="00302D9B"/>
    <w:rsid w:val="0030321F"/>
    <w:rsid w:val="0030356B"/>
    <w:rsid w:val="003035F4"/>
    <w:rsid w:val="0030393A"/>
    <w:rsid w:val="00303BC6"/>
    <w:rsid w:val="0030453C"/>
    <w:rsid w:val="0030467B"/>
    <w:rsid w:val="003050C9"/>
    <w:rsid w:val="003059FD"/>
    <w:rsid w:val="003062EC"/>
    <w:rsid w:val="00306429"/>
    <w:rsid w:val="00306648"/>
    <w:rsid w:val="00306892"/>
    <w:rsid w:val="003068DD"/>
    <w:rsid w:val="00306E18"/>
    <w:rsid w:val="00307333"/>
    <w:rsid w:val="00307516"/>
    <w:rsid w:val="003078DB"/>
    <w:rsid w:val="00307915"/>
    <w:rsid w:val="00307BEB"/>
    <w:rsid w:val="00310650"/>
    <w:rsid w:val="00310DCF"/>
    <w:rsid w:val="003111D8"/>
    <w:rsid w:val="0031171E"/>
    <w:rsid w:val="003119F9"/>
    <w:rsid w:val="00311F88"/>
    <w:rsid w:val="003120C1"/>
    <w:rsid w:val="00312738"/>
    <w:rsid w:val="00312946"/>
    <w:rsid w:val="00313227"/>
    <w:rsid w:val="00313723"/>
    <w:rsid w:val="00313A14"/>
    <w:rsid w:val="00313DF1"/>
    <w:rsid w:val="003143B9"/>
    <w:rsid w:val="00314937"/>
    <w:rsid w:val="00314962"/>
    <w:rsid w:val="00314B8A"/>
    <w:rsid w:val="00314BF7"/>
    <w:rsid w:val="00314C5A"/>
    <w:rsid w:val="00315300"/>
    <w:rsid w:val="003156B3"/>
    <w:rsid w:val="0031586B"/>
    <w:rsid w:val="00315C9E"/>
    <w:rsid w:val="00315E49"/>
    <w:rsid w:val="0031644E"/>
    <w:rsid w:val="003164F9"/>
    <w:rsid w:val="00316E97"/>
    <w:rsid w:val="00317183"/>
    <w:rsid w:val="00317195"/>
    <w:rsid w:val="0031735F"/>
    <w:rsid w:val="00317B41"/>
    <w:rsid w:val="00320230"/>
    <w:rsid w:val="00320737"/>
    <w:rsid w:val="00320A51"/>
    <w:rsid w:val="00320B2F"/>
    <w:rsid w:val="00320D97"/>
    <w:rsid w:val="00321062"/>
    <w:rsid w:val="003212CA"/>
    <w:rsid w:val="00321B44"/>
    <w:rsid w:val="0032242C"/>
    <w:rsid w:val="003226A1"/>
    <w:rsid w:val="00322E76"/>
    <w:rsid w:val="003245F4"/>
    <w:rsid w:val="00324742"/>
    <w:rsid w:val="00324807"/>
    <w:rsid w:val="00324844"/>
    <w:rsid w:val="0032566C"/>
    <w:rsid w:val="0032633E"/>
    <w:rsid w:val="00326B3C"/>
    <w:rsid w:val="003271CD"/>
    <w:rsid w:val="003276F6"/>
    <w:rsid w:val="00327926"/>
    <w:rsid w:val="00327B01"/>
    <w:rsid w:val="00327CD8"/>
    <w:rsid w:val="0033008B"/>
    <w:rsid w:val="003306BA"/>
    <w:rsid w:val="00330995"/>
    <w:rsid w:val="003309B0"/>
    <w:rsid w:val="003309DD"/>
    <w:rsid w:val="00330A31"/>
    <w:rsid w:val="00330C47"/>
    <w:rsid w:val="00330F34"/>
    <w:rsid w:val="00330FDD"/>
    <w:rsid w:val="003310A3"/>
    <w:rsid w:val="003312E2"/>
    <w:rsid w:val="00331415"/>
    <w:rsid w:val="00331E2D"/>
    <w:rsid w:val="00331E60"/>
    <w:rsid w:val="00331FDD"/>
    <w:rsid w:val="003325A2"/>
    <w:rsid w:val="0033281D"/>
    <w:rsid w:val="00332895"/>
    <w:rsid w:val="0033289F"/>
    <w:rsid w:val="00332A4E"/>
    <w:rsid w:val="003331CE"/>
    <w:rsid w:val="0033334E"/>
    <w:rsid w:val="00333487"/>
    <w:rsid w:val="003334C7"/>
    <w:rsid w:val="00333704"/>
    <w:rsid w:val="00333A0F"/>
    <w:rsid w:val="00333F15"/>
    <w:rsid w:val="003340FB"/>
    <w:rsid w:val="00334223"/>
    <w:rsid w:val="003349AD"/>
    <w:rsid w:val="00334AB4"/>
    <w:rsid w:val="00334C75"/>
    <w:rsid w:val="00335233"/>
    <w:rsid w:val="00335572"/>
    <w:rsid w:val="00335BB4"/>
    <w:rsid w:val="00336467"/>
    <w:rsid w:val="0033711E"/>
    <w:rsid w:val="0033766A"/>
    <w:rsid w:val="00337CEB"/>
    <w:rsid w:val="00340068"/>
    <w:rsid w:val="0034082F"/>
    <w:rsid w:val="00340897"/>
    <w:rsid w:val="003409CD"/>
    <w:rsid w:val="00340D2A"/>
    <w:rsid w:val="00341238"/>
    <w:rsid w:val="00341258"/>
    <w:rsid w:val="003418DE"/>
    <w:rsid w:val="00341B46"/>
    <w:rsid w:val="00342209"/>
    <w:rsid w:val="003423BB"/>
    <w:rsid w:val="00342FE0"/>
    <w:rsid w:val="00343931"/>
    <w:rsid w:val="003439F4"/>
    <w:rsid w:val="003440DE"/>
    <w:rsid w:val="0034497B"/>
    <w:rsid w:val="00344B99"/>
    <w:rsid w:val="00344FB1"/>
    <w:rsid w:val="00345084"/>
    <w:rsid w:val="003453CA"/>
    <w:rsid w:val="00345ABC"/>
    <w:rsid w:val="00345D13"/>
    <w:rsid w:val="00345FDF"/>
    <w:rsid w:val="0034643B"/>
    <w:rsid w:val="003469FC"/>
    <w:rsid w:val="00346DAA"/>
    <w:rsid w:val="003473FE"/>
    <w:rsid w:val="00347FF9"/>
    <w:rsid w:val="00350E9A"/>
    <w:rsid w:val="0035145B"/>
    <w:rsid w:val="00351747"/>
    <w:rsid w:val="00351911"/>
    <w:rsid w:val="003525E0"/>
    <w:rsid w:val="0035267F"/>
    <w:rsid w:val="0035268F"/>
    <w:rsid w:val="0035299C"/>
    <w:rsid w:val="00352B80"/>
    <w:rsid w:val="00352DCC"/>
    <w:rsid w:val="00352ED8"/>
    <w:rsid w:val="00353BBB"/>
    <w:rsid w:val="00353BD3"/>
    <w:rsid w:val="00353C1C"/>
    <w:rsid w:val="00354019"/>
    <w:rsid w:val="00354169"/>
    <w:rsid w:val="0035423F"/>
    <w:rsid w:val="00354F70"/>
    <w:rsid w:val="003550C8"/>
    <w:rsid w:val="00356407"/>
    <w:rsid w:val="00356557"/>
    <w:rsid w:val="0035668A"/>
    <w:rsid w:val="00356D4D"/>
    <w:rsid w:val="00356FF5"/>
    <w:rsid w:val="00357277"/>
    <w:rsid w:val="00357872"/>
    <w:rsid w:val="00357AD8"/>
    <w:rsid w:val="00357F7C"/>
    <w:rsid w:val="00360055"/>
    <w:rsid w:val="003604EA"/>
    <w:rsid w:val="0036052E"/>
    <w:rsid w:val="00360BDD"/>
    <w:rsid w:val="00360C7A"/>
    <w:rsid w:val="003611E3"/>
    <w:rsid w:val="0036188C"/>
    <w:rsid w:val="003623DD"/>
    <w:rsid w:val="00362B09"/>
    <w:rsid w:val="00362F9C"/>
    <w:rsid w:val="00363A6C"/>
    <w:rsid w:val="003642FF"/>
    <w:rsid w:val="00364A73"/>
    <w:rsid w:val="00365367"/>
    <w:rsid w:val="00365404"/>
    <w:rsid w:val="003658E9"/>
    <w:rsid w:val="00365AEE"/>
    <w:rsid w:val="00366192"/>
    <w:rsid w:val="003667CA"/>
    <w:rsid w:val="003669F4"/>
    <w:rsid w:val="00366CA1"/>
    <w:rsid w:val="00366FA6"/>
    <w:rsid w:val="00367E02"/>
    <w:rsid w:val="0037047A"/>
    <w:rsid w:val="003714A3"/>
    <w:rsid w:val="00371DE9"/>
    <w:rsid w:val="00372069"/>
    <w:rsid w:val="00372149"/>
    <w:rsid w:val="00372667"/>
    <w:rsid w:val="0037272B"/>
    <w:rsid w:val="00372FDE"/>
    <w:rsid w:val="00373022"/>
    <w:rsid w:val="0037396B"/>
    <w:rsid w:val="00373987"/>
    <w:rsid w:val="00373AE8"/>
    <w:rsid w:val="00374BEE"/>
    <w:rsid w:val="00374FB1"/>
    <w:rsid w:val="0037509F"/>
    <w:rsid w:val="003751F5"/>
    <w:rsid w:val="003755E7"/>
    <w:rsid w:val="00375FBD"/>
    <w:rsid w:val="00376E4D"/>
    <w:rsid w:val="00376E81"/>
    <w:rsid w:val="00377350"/>
    <w:rsid w:val="00377923"/>
    <w:rsid w:val="00377CFE"/>
    <w:rsid w:val="00377D13"/>
    <w:rsid w:val="00377DB4"/>
    <w:rsid w:val="00377F87"/>
    <w:rsid w:val="00380795"/>
    <w:rsid w:val="00380B88"/>
    <w:rsid w:val="00380D8B"/>
    <w:rsid w:val="003810E0"/>
    <w:rsid w:val="0038153F"/>
    <w:rsid w:val="00381672"/>
    <w:rsid w:val="003816B0"/>
    <w:rsid w:val="003818ED"/>
    <w:rsid w:val="00382763"/>
    <w:rsid w:val="00383CFB"/>
    <w:rsid w:val="00383D48"/>
    <w:rsid w:val="00384372"/>
    <w:rsid w:val="0038449F"/>
    <w:rsid w:val="003848B0"/>
    <w:rsid w:val="00385222"/>
    <w:rsid w:val="003859FA"/>
    <w:rsid w:val="0038693D"/>
    <w:rsid w:val="00386CA4"/>
    <w:rsid w:val="00386E05"/>
    <w:rsid w:val="00386FFF"/>
    <w:rsid w:val="00387266"/>
    <w:rsid w:val="003872D3"/>
    <w:rsid w:val="00387815"/>
    <w:rsid w:val="00387828"/>
    <w:rsid w:val="00387E44"/>
    <w:rsid w:val="0039069F"/>
    <w:rsid w:val="0039076A"/>
    <w:rsid w:val="00390784"/>
    <w:rsid w:val="00390A13"/>
    <w:rsid w:val="00390F37"/>
    <w:rsid w:val="00391C8C"/>
    <w:rsid w:val="00391FC8"/>
    <w:rsid w:val="00392462"/>
    <w:rsid w:val="003935DB"/>
    <w:rsid w:val="00393AA2"/>
    <w:rsid w:val="00393EA3"/>
    <w:rsid w:val="00394008"/>
    <w:rsid w:val="003943BF"/>
    <w:rsid w:val="00394935"/>
    <w:rsid w:val="003949C9"/>
    <w:rsid w:val="00395BB5"/>
    <w:rsid w:val="00396381"/>
    <w:rsid w:val="003963CD"/>
    <w:rsid w:val="003974A8"/>
    <w:rsid w:val="00397A8C"/>
    <w:rsid w:val="00397ABE"/>
    <w:rsid w:val="00397D09"/>
    <w:rsid w:val="00397EFF"/>
    <w:rsid w:val="00397F36"/>
    <w:rsid w:val="003A024E"/>
    <w:rsid w:val="003A0904"/>
    <w:rsid w:val="003A129F"/>
    <w:rsid w:val="003A1D62"/>
    <w:rsid w:val="003A23CF"/>
    <w:rsid w:val="003A280C"/>
    <w:rsid w:val="003A2A0B"/>
    <w:rsid w:val="003A2F8D"/>
    <w:rsid w:val="003A300D"/>
    <w:rsid w:val="003A3166"/>
    <w:rsid w:val="003A4540"/>
    <w:rsid w:val="003A5A43"/>
    <w:rsid w:val="003A5B8A"/>
    <w:rsid w:val="003A609D"/>
    <w:rsid w:val="003A6930"/>
    <w:rsid w:val="003A6BDF"/>
    <w:rsid w:val="003A7147"/>
    <w:rsid w:val="003A7E77"/>
    <w:rsid w:val="003B0132"/>
    <w:rsid w:val="003B023A"/>
    <w:rsid w:val="003B02CB"/>
    <w:rsid w:val="003B0B3F"/>
    <w:rsid w:val="003B1D08"/>
    <w:rsid w:val="003B2448"/>
    <w:rsid w:val="003B2857"/>
    <w:rsid w:val="003B2A54"/>
    <w:rsid w:val="003B2CCB"/>
    <w:rsid w:val="003B3CCB"/>
    <w:rsid w:val="003B3F54"/>
    <w:rsid w:val="003B3FBE"/>
    <w:rsid w:val="003B4885"/>
    <w:rsid w:val="003B53EB"/>
    <w:rsid w:val="003B55EF"/>
    <w:rsid w:val="003B5A9B"/>
    <w:rsid w:val="003B5C0A"/>
    <w:rsid w:val="003B5DB5"/>
    <w:rsid w:val="003B5ED8"/>
    <w:rsid w:val="003B682D"/>
    <w:rsid w:val="003B74DC"/>
    <w:rsid w:val="003B79CE"/>
    <w:rsid w:val="003C05CB"/>
    <w:rsid w:val="003C080E"/>
    <w:rsid w:val="003C09B8"/>
    <w:rsid w:val="003C09FB"/>
    <w:rsid w:val="003C0DBE"/>
    <w:rsid w:val="003C1B0A"/>
    <w:rsid w:val="003C1B2A"/>
    <w:rsid w:val="003C201A"/>
    <w:rsid w:val="003C23B1"/>
    <w:rsid w:val="003C2BC8"/>
    <w:rsid w:val="003C30D0"/>
    <w:rsid w:val="003C3564"/>
    <w:rsid w:val="003C37F3"/>
    <w:rsid w:val="003C3BE0"/>
    <w:rsid w:val="003C3DED"/>
    <w:rsid w:val="003C41D2"/>
    <w:rsid w:val="003C4EC0"/>
    <w:rsid w:val="003C4F96"/>
    <w:rsid w:val="003C4F9C"/>
    <w:rsid w:val="003C5528"/>
    <w:rsid w:val="003C59FE"/>
    <w:rsid w:val="003C5CCF"/>
    <w:rsid w:val="003C69B8"/>
    <w:rsid w:val="003C6B4B"/>
    <w:rsid w:val="003D013B"/>
    <w:rsid w:val="003D0DC3"/>
    <w:rsid w:val="003D0EC1"/>
    <w:rsid w:val="003D11FB"/>
    <w:rsid w:val="003D1512"/>
    <w:rsid w:val="003D1552"/>
    <w:rsid w:val="003D1553"/>
    <w:rsid w:val="003D177B"/>
    <w:rsid w:val="003D18C7"/>
    <w:rsid w:val="003D1DF9"/>
    <w:rsid w:val="003D2082"/>
    <w:rsid w:val="003D2284"/>
    <w:rsid w:val="003D22E7"/>
    <w:rsid w:val="003D257D"/>
    <w:rsid w:val="003D29A1"/>
    <w:rsid w:val="003D2C72"/>
    <w:rsid w:val="003D2D32"/>
    <w:rsid w:val="003D2D95"/>
    <w:rsid w:val="003D2FB9"/>
    <w:rsid w:val="003D3016"/>
    <w:rsid w:val="003D30DE"/>
    <w:rsid w:val="003D3524"/>
    <w:rsid w:val="003D3CE1"/>
    <w:rsid w:val="003D3CF7"/>
    <w:rsid w:val="003D3D28"/>
    <w:rsid w:val="003D3F51"/>
    <w:rsid w:val="003D427B"/>
    <w:rsid w:val="003D43D3"/>
    <w:rsid w:val="003D4A18"/>
    <w:rsid w:val="003D4EAC"/>
    <w:rsid w:val="003D51F6"/>
    <w:rsid w:val="003D58D9"/>
    <w:rsid w:val="003D6254"/>
    <w:rsid w:val="003D6357"/>
    <w:rsid w:val="003D6365"/>
    <w:rsid w:val="003D6455"/>
    <w:rsid w:val="003D6997"/>
    <w:rsid w:val="003D6A23"/>
    <w:rsid w:val="003D713C"/>
    <w:rsid w:val="003E031C"/>
    <w:rsid w:val="003E0526"/>
    <w:rsid w:val="003E0AA3"/>
    <w:rsid w:val="003E0AFF"/>
    <w:rsid w:val="003E14F0"/>
    <w:rsid w:val="003E15B9"/>
    <w:rsid w:val="003E19D6"/>
    <w:rsid w:val="003E1A8E"/>
    <w:rsid w:val="003E1B6C"/>
    <w:rsid w:val="003E1ED7"/>
    <w:rsid w:val="003E22DA"/>
    <w:rsid w:val="003E259F"/>
    <w:rsid w:val="003E30E7"/>
    <w:rsid w:val="003E32C4"/>
    <w:rsid w:val="003E3FD3"/>
    <w:rsid w:val="003E4123"/>
    <w:rsid w:val="003E428C"/>
    <w:rsid w:val="003E4428"/>
    <w:rsid w:val="003E4759"/>
    <w:rsid w:val="003E4A57"/>
    <w:rsid w:val="003E4BD3"/>
    <w:rsid w:val="003E5422"/>
    <w:rsid w:val="003E5603"/>
    <w:rsid w:val="003E5817"/>
    <w:rsid w:val="003E5CAF"/>
    <w:rsid w:val="003E5DC2"/>
    <w:rsid w:val="003E5F07"/>
    <w:rsid w:val="003E6566"/>
    <w:rsid w:val="003E6876"/>
    <w:rsid w:val="003E6C6C"/>
    <w:rsid w:val="003E6ED4"/>
    <w:rsid w:val="003E6FC2"/>
    <w:rsid w:val="003E72F6"/>
    <w:rsid w:val="003E7346"/>
    <w:rsid w:val="003E74CB"/>
    <w:rsid w:val="003F0A28"/>
    <w:rsid w:val="003F0AEE"/>
    <w:rsid w:val="003F0CF0"/>
    <w:rsid w:val="003F0EE6"/>
    <w:rsid w:val="003F144C"/>
    <w:rsid w:val="003F1514"/>
    <w:rsid w:val="003F1E13"/>
    <w:rsid w:val="003F21C8"/>
    <w:rsid w:val="003F240B"/>
    <w:rsid w:val="003F24E8"/>
    <w:rsid w:val="003F266E"/>
    <w:rsid w:val="003F2725"/>
    <w:rsid w:val="003F2938"/>
    <w:rsid w:val="003F2C8A"/>
    <w:rsid w:val="003F381D"/>
    <w:rsid w:val="003F3C13"/>
    <w:rsid w:val="003F4068"/>
    <w:rsid w:val="003F412A"/>
    <w:rsid w:val="003F4586"/>
    <w:rsid w:val="003F49C3"/>
    <w:rsid w:val="003F4D38"/>
    <w:rsid w:val="003F4E1B"/>
    <w:rsid w:val="003F64D9"/>
    <w:rsid w:val="003F6DFF"/>
    <w:rsid w:val="003F76A8"/>
    <w:rsid w:val="003F7982"/>
    <w:rsid w:val="003F7E0B"/>
    <w:rsid w:val="004003E2"/>
    <w:rsid w:val="00400900"/>
    <w:rsid w:val="00400C1B"/>
    <w:rsid w:val="00400C32"/>
    <w:rsid w:val="00401097"/>
    <w:rsid w:val="00401503"/>
    <w:rsid w:val="004016D2"/>
    <w:rsid w:val="00401886"/>
    <w:rsid w:val="00401AE1"/>
    <w:rsid w:val="00401B18"/>
    <w:rsid w:val="00401DB8"/>
    <w:rsid w:val="00402642"/>
    <w:rsid w:val="004026D3"/>
    <w:rsid w:val="00402DE9"/>
    <w:rsid w:val="00403AE7"/>
    <w:rsid w:val="00404CA4"/>
    <w:rsid w:val="004055FA"/>
    <w:rsid w:val="00405E81"/>
    <w:rsid w:val="00405F82"/>
    <w:rsid w:val="00406340"/>
    <w:rsid w:val="00406972"/>
    <w:rsid w:val="00406EBE"/>
    <w:rsid w:val="00406F45"/>
    <w:rsid w:val="00407184"/>
    <w:rsid w:val="004077EA"/>
    <w:rsid w:val="00407936"/>
    <w:rsid w:val="00410202"/>
    <w:rsid w:val="00410EA5"/>
    <w:rsid w:val="0041143E"/>
    <w:rsid w:val="00411537"/>
    <w:rsid w:val="004124C8"/>
    <w:rsid w:val="00412B95"/>
    <w:rsid w:val="00412BA8"/>
    <w:rsid w:val="00413A56"/>
    <w:rsid w:val="00413C5D"/>
    <w:rsid w:val="00413F40"/>
    <w:rsid w:val="004144AB"/>
    <w:rsid w:val="0041461E"/>
    <w:rsid w:val="00415357"/>
    <w:rsid w:val="004153E5"/>
    <w:rsid w:val="00415C1D"/>
    <w:rsid w:val="00416C99"/>
    <w:rsid w:val="004173B4"/>
    <w:rsid w:val="0041745D"/>
    <w:rsid w:val="00417F87"/>
    <w:rsid w:val="00420189"/>
    <w:rsid w:val="00420376"/>
    <w:rsid w:val="004206B2"/>
    <w:rsid w:val="004209AC"/>
    <w:rsid w:val="004211D1"/>
    <w:rsid w:val="0042160C"/>
    <w:rsid w:val="00421912"/>
    <w:rsid w:val="0042199C"/>
    <w:rsid w:val="004219BB"/>
    <w:rsid w:val="00422709"/>
    <w:rsid w:val="004228C8"/>
    <w:rsid w:val="00422B2D"/>
    <w:rsid w:val="0042328D"/>
    <w:rsid w:val="00423707"/>
    <w:rsid w:val="0042371C"/>
    <w:rsid w:val="00423991"/>
    <w:rsid w:val="00423B58"/>
    <w:rsid w:val="00423F8B"/>
    <w:rsid w:val="004240E9"/>
    <w:rsid w:val="0042430D"/>
    <w:rsid w:val="00424C27"/>
    <w:rsid w:val="00424CA6"/>
    <w:rsid w:val="00424CDB"/>
    <w:rsid w:val="004252BD"/>
    <w:rsid w:val="00426508"/>
    <w:rsid w:val="004268C3"/>
    <w:rsid w:val="00427424"/>
    <w:rsid w:val="004276AB"/>
    <w:rsid w:val="00427BA0"/>
    <w:rsid w:val="00427D64"/>
    <w:rsid w:val="00430222"/>
    <w:rsid w:val="004305B5"/>
    <w:rsid w:val="00430CD5"/>
    <w:rsid w:val="00430D81"/>
    <w:rsid w:val="0043109B"/>
    <w:rsid w:val="00431D91"/>
    <w:rsid w:val="00431E9E"/>
    <w:rsid w:val="004323BC"/>
    <w:rsid w:val="004327BB"/>
    <w:rsid w:val="00432FA0"/>
    <w:rsid w:val="00433001"/>
    <w:rsid w:val="0043382E"/>
    <w:rsid w:val="00433A09"/>
    <w:rsid w:val="00434014"/>
    <w:rsid w:val="004343BE"/>
    <w:rsid w:val="0043468E"/>
    <w:rsid w:val="00434E60"/>
    <w:rsid w:val="004351EF"/>
    <w:rsid w:val="0043521B"/>
    <w:rsid w:val="0043537B"/>
    <w:rsid w:val="004355BC"/>
    <w:rsid w:val="0043561D"/>
    <w:rsid w:val="00435C1D"/>
    <w:rsid w:val="00435FBC"/>
    <w:rsid w:val="0043686B"/>
    <w:rsid w:val="00436965"/>
    <w:rsid w:val="00436C44"/>
    <w:rsid w:val="00436F9C"/>
    <w:rsid w:val="0043789C"/>
    <w:rsid w:val="00437CE3"/>
    <w:rsid w:val="004408AF"/>
    <w:rsid w:val="004408D9"/>
    <w:rsid w:val="00440A64"/>
    <w:rsid w:val="00440A9B"/>
    <w:rsid w:val="00440ECF"/>
    <w:rsid w:val="00440F7B"/>
    <w:rsid w:val="00441120"/>
    <w:rsid w:val="0044127C"/>
    <w:rsid w:val="0044150A"/>
    <w:rsid w:val="004416E8"/>
    <w:rsid w:val="00441A1C"/>
    <w:rsid w:val="00441ABB"/>
    <w:rsid w:val="00441C43"/>
    <w:rsid w:val="004421AD"/>
    <w:rsid w:val="00442798"/>
    <w:rsid w:val="00442D3D"/>
    <w:rsid w:val="00442F4A"/>
    <w:rsid w:val="0044310E"/>
    <w:rsid w:val="0044354E"/>
    <w:rsid w:val="0044363F"/>
    <w:rsid w:val="00443C53"/>
    <w:rsid w:val="00443F09"/>
    <w:rsid w:val="004441D5"/>
    <w:rsid w:val="0044430B"/>
    <w:rsid w:val="004445CA"/>
    <w:rsid w:val="00444615"/>
    <w:rsid w:val="00444806"/>
    <w:rsid w:val="0044485C"/>
    <w:rsid w:val="004449AC"/>
    <w:rsid w:val="004449AF"/>
    <w:rsid w:val="00444A32"/>
    <w:rsid w:val="0044508E"/>
    <w:rsid w:val="004453E7"/>
    <w:rsid w:val="00445BD2"/>
    <w:rsid w:val="00446516"/>
    <w:rsid w:val="0044655F"/>
    <w:rsid w:val="0044674A"/>
    <w:rsid w:val="00446944"/>
    <w:rsid w:val="00446C45"/>
    <w:rsid w:val="00447C57"/>
    <w:rsid w:val="00450045"/>
    <w:rsid w:val="0045043A"/>
    <w:rsid w:val="00450E36"/>
    <w:rsid w:val="00450E9A"/>
    <w:rsid w:val="00451177"/>
    <w:rsid w:val="0045140F"/>
    <w:rsid w:val="00451810"/>
    <w:rsid w:val="00451A3D"/>
    <w:rsid w:val="00452539"/>
    <w:rsid w:val="00452966"/>
    <w:rsid w:val="0045297A"/>
    <w:rsid w:val="00452AEB"/>
    <w:rsid w:val="00452B7D"/>
    <w:rsid w:val="00452C09"/>
    <w:rsid w:val="00452E79"/>
    <w:rsid w:val="00452FE5"/>
    <w:rsid w:val="0045309B"/>
    <w:rsid w:val="00454468"/>
    <w:rsid w:val="004546F1"/>
    <w:rsid w:val="004547C1"/>
    <w:rsid w:val="00454D50"/>
    <w:rsid w:val="004550A1"/>
    <w:rsid w:val="0045520E"/>
    <w:rsid w:val="00455431"/>
    <w:rsid w:val="00455D4C"/>
    <w:rsid w:val="00455F51"/>
    <w:rsid w:val="00456008"/>
    <w:rsid w:val="0045606F"/>
    <w:rsid w:val="004560D9"/>
    <w:rsid w:val="00456561"/>
    <w:rsid w:val="00456F1B"/>
    <w:rsid w:val="00457042"/>
    <w:rsid w:val="0045710E"/>
    <w:rsid w:val="004576F4"/>
    <w:rsid w:val="00457B13"/>
    <w:rsid w:val="00460067"/>
    <w:rsid w:val="0046011D"/>
    <w:rsid w:val="004601D1"/>
    <w:rsid w:val="0046047B"/>
    <w:rsid w:val="0046049A"/>
    <w:rsid w:val="00460778"/>
    <w:rsid w:val="004608D8"/>
    <w:rsid w:val="00460ED1"/>
    <w:rsid w:val="00460F83"/>
    <w:rsid w:val="004618F8"/>
    <w:rsid w:val="0046203D"/>
    <w:rsid w:val="004622BB"/>
    <w:rsid w:val="004625BA"/>
    <w:rsid w:val="00462831"/>
    <w:rsid w:val="004628F4"/>
    <w:rsid w:val="0046295D"/>
    <w:rsid w:val="00462AC2"/>
    <w:rsid w:val="00463D24"/>
    <w:rsid w:val="00463E68"/>
    <w:rsid w:val="004644E1"/>
    <w:rsid w:val="00464605"/>
    <w:rsid w:val="00464CD4"/>
    <w:rsid w:val="00465092"/>
    <w:rsid w:val="004652D9"/>
    <w:rsid w:val="004657D7"/>
    <w:rsid w:val="00466A94"/>
    <w:rsid w:val="00466B24"/>
    <w:rsid w:val="00466CE9"/>
    <w:rsid w:val="0046720C"/>
    <w:rsid w:val="004677A4"/>
    <w:rsid w:val="004677BD"/>
    <w:rsid w:val="0046787C"/>
    <w:rsid w:val="00467D1B"/>
    <w:rsid w:val="00467D57"/>
    <w:rsid w:val="00470713"/>
    <w:rsid w:val="00470A5C"/>
    <w:rsid w:val="0047138A"/>
    <w:rsid w:val="004713CB"/>
    <w:rsid w:val="00471E32"/>
    <w:rsid w:val="004723B6"/>
    <w:rsid w:val="00472582"/>
    <w:rsid w:val="00472756"/>
    <w:rsid w:val="0047287E"/>
    <w:rsid w:val="00472FA4"/>
    <w:rsid w:val="00473578"/>
    <w:rsid w:val="004739F0"/>
    <w:rsid w:val="00473D6C"/>
    <w:rsid w:val="00473F87"/>
    <w:rsid w:val="004740D1"/>
    <w:rsid w:val="004751F0"/>
    <w:rsid w:val="00475642"/>
    <w:rsid w:val="00475E06"/>
    <w:rsid w:val="00476187"/>
    <w:rsid w:val="00476F56"/>
    <w:rsid w:val="00477279"/>
    <w:rsid w:val="00477547"/>
    <w:rsid w:val="00477C2B"/>
    <w:rsid w:val="00477E6F"/>
    <w:rsid w:val="00480760"/>
    <w:rsid w:val="00480832"/>
    <w:rsid w:val="004808CF"/>
    <w:rsid w:val="00480ECF"/>
    <w:rsid w:val="00480F5D"/>
    <w:rsid w:val="00481344"/>
    <w:rsid w:val="004816E7"/>
    <w:rsid w:val="00481929"/>
    <w:rsid w:val="00481CC3"/>
    <w:rsid w:val="004820B3"/>
    <w:rsid w:val="00482771"/>
    <w:rsid w:val="004829A6"/>
    <w:rsid w:val="00482B76"/>
    <w:rsid w:val="00482C20"/>
    <w:rsid w:val="00483432"/>
    <w:rsid w:val="00483620"/>
    <w:rsid w:val="00483D07"/>
    <w:rsid w:val="00483EF5"/>
    <w:rsid w:val="0048450E"/>
    <w:rsid w:val="00484920"/>
    <w:rsid w:val="00485172"/>
    <w:rsid w:val="004852BD"/>
    <w:rsid w:val="004853B5"/>
    <w:rsid w:val="00485467"/>
    <w:rsid w:val="00485591"/>
    <w:rsid w:val="00485925"/>
    <w:rsid w:val="004873C7"/>
    <w:rsid w:val="00487F85"/>
    <w:rsid w:val="00487FE9"/>
    <w:rsid w:val="00490A77"/>
    <w:rsid w:val="00491013"/>
    <w:rsid w:val="0049122B"/>
    <w:rsid w:val="00491B5D"/>
    <w:rsid w:val="0049223F"/>
    <w:rsid w:val="00492538"/>
    <w:rsid w:val="00492554"/>
    <w:rsid w:val="0049395C"/>
    <w:rsid w:val="00493A87"/>
    <w:rsid w:val="004941BC"/>
    <w:rsid w:val="00494463"/>
    <w:rsid w:val="00495048"/>
    <w:rsid w:val="00495152"/>
    <w:rsid w:val="004952EE"/>
    <w:rsid w:val="004965AE"/>
    <w:rsid w:val="004969D9"/>
    <w:rsid w:val="004A0919"/>
    <w:rsid w:val="004A0AEF"/>
    <w:rsid w:val="004A0FDB"/>
    <w:rsid w:val="004A1016"/>
    <w:rsid w:val="004A1357"/>
    <w:rsid w:val="004A1478"/>
    <w:rsid w:val="004A1DF2"/>
    <w:rsid w:val="004A20FE"/>
    <w:rsid w:val="004A23F8"/>
    <w:rsid w:val="004A2D6E"/>
    <w:rsid w:val="004A40AA"/>
    <w:rsid w:val="004A430E"/>
    <w:rsid w:val="004A4367"/>
    <w:rsid w:val="004A4446"/>
    <w:rsid w:val="004A475C"/>
    <w:rsid w:val="004A47FF"/>
    <w:rsid w:val="004A495C"/>
    <w:rsid w:val="004A497D"/>
    <w:rsid w:val="004A564B"/>
    <w:rsid w:val="004A5C0B"/>
    <w:rsid w:val="004A5F96"/>
    <w:rsid w:val="004A6652"/>
    <w:rsid w:val="004A6961"/>
    <w:rsid w:val="004A6A67"/>
    <w:rsid w:val="004A6B16"/>
    <w:rsid w:val="004A70DF"/>
    <w:rsid w:val="004A71B5"/>
    <w:rsid w:val="004A73D3"/>
    <w:rsid w:val="004A7FC3"/>
    <w:rsid w:val="004B025A"/>
    <w:rsid w:val="004B08AE"/>
    <w:rsid w:val="004B134F"/>
    <w:rsid w:val="004B1399"/>
    <w:rsid w:val="004B149C"/>
    <w:rsid w:val="004B1D92"/>
    <w:rsid w:val="004B1F07"/>
    <w:rsid w:val="004B2A2F"/>
    <w:rsid w:val="004B2CE9"/>
    <w:rsid w:val="004B2D5E"/>
    <w:rsid w:val="004B2E99"/>
    <w:rsid w:val="004B310A"/>
    <w:rsid w:val="004B376F"/>
    <w:rsid w:val="004B3F84"/>
    <w:rsid w:val="004B474D"/>
    <w:rsid w:val="004B4CBD"/>
    <w:rsid w:val="004B4D04"/>
    <w:rsid w:val="004B51F4"/>
    <w:rsid w:val="004B538B"/>
    <w:rsid w:val="004B5860"/>
    <w:rsid w:val="004B6271"/>
    <w:rsid w:val="004B631C"/>
    <w:rsid w:val="004B6413"/>
    <w:rsid w:val="004B651B"/>
    <w:rsid w:val="004B6B67"/>
    <w:rsid w:val="004B6B80"/>
    <w:rsid w:val="004B6BAF"/>
    <w:rsid w:val="004B6BD2"/>
    <w:rsid w:val="004B6C6E"/>
    <w:rsid w:val="004B6D41"/>
    <w:rsid w:val="004B701F"/>
    <w:rsid w:val="004B7390"/>
    <w:rsid w:val="004B7967"/>
    <w:rsid w:val="004B7DA2"/>
    <w:rsid w:val="004C06F9"/>
    <w:rsid w:val="004C093B"/>
    <w:rsid w:val="004C0992"/>
    <w:rsid w:val="004C0BAA"/>
    <w:rsid w:val="004C0C45"/>
    <w:rsid w:val="004C15F2"/>
    <w:rsid w:val="004C1EC3"/>
    <w:rsid w:val="004C2457"/>
    <w:rsid w:val="004C284C"/>
    <w:rsid w:val="004C28FE"/>
    <w:rsid w:val="004C2BBB"/>
    <w:rsid w:val="004C362B"/>
    <w:rsid w:val="004C4101"/>
    <w:rsid w:val="004C445C"/>
    <w:rsid w:val="004C4CD6"/>
    <w:rsid w:val="004C518B"/>
    <w:rsid w:val="004C5356"/>
    <w:rsid w:val="004C55F8"/>
    <w:rsid w:val="004C5695"/>
    <w:rsid w:val="004C5963"/>
    <w:rsid w:val="004C5B63"/>
    <w:rsid w:val="004C61F8"/>
    <w:rsid w:val="004C6638"/>
    <w:rsid w:val="004C69CB"/>
    <w:rsid w:val="004C6C8A"/>
    <w:rsid w:val="004C730A"/>
    <w:rsid w:val="004C74CC"/>
    <w:rsid w:val="004C792A"/>
    <w:rsid w:val="004C7972"/>
    <w:rsid w:val="004C7CAF"/>
    <w:rsid w:val="004C7D75"/>
    <w:rsid w:val="004C7F72"/>
    <w:rsid w:val="004D003F"/>
    <w:rsid w:val="004D0340"/>
    <w:rsid w:val="004D05B3"/>
    <w:rsid w:val="004D07DF"/>
    <w:rsid w:val="004D0B4A"/>
    <w:rsid w:val="004D1318"/>
    <w:rsid w:val="004D14F3"/>
    <w:rsid w:val="004D164E"/>
    <w:rsid w:val="004D22F9"/>
    <w:rsid w:val="004D25DB"/>
    <w:rsid w:val="004D2694"/>
    <w:rsid w:val="004D2F9B"/>
    <w:rsid w:val="004D3477"/>
    <w:rsid w:val="004D39E2"/>
    <w:rsid w:val="004D3F94"/>
    <w:rsid w:val="004D4245"/>
    <w:rsid w:val="004D4361"/>
    <w:rsid w:val="004D458B"/>
    <w:rsid w:val="004D5451"/>
    <w:rsid w:val="004D5B05"/>
    <w:rsid w:val="004D5D7F"/>
    <w:rsid w:val="004D5EC7"/>
    <w:rsid w:val="004D6832"/>
    <w:rsid w:val="004D6A51"/>
    <w:rsid w:val="004D70AE"/>
    <w:rsid w:val="004D759B"/>
    <w:rsid w:val="004D7B8A"/>
    <w:rsid w:val="004E04B1"/>
    <w:rsid w:val="004E0830"/>
    <w:rsid w:val="004E08EA"/>
    <w:rsid w:val="004E1000"/>
    <w:rsid w:val="004E1060"/>
    <w:rsid w:val="004E16A3"/>
    <w:rsid w:val="004E1D19"/>
    <w:rsid w:val="004E296A"/>
    <w:rsid w:val="004E3360"/>
    <w:rsid w:val="004E452F"/>
    <w:rsid w:val="004E4915"/>
    <w:rsid w:val="004E4991"/>
    <w:rsid w:val="004E4B3B"/>
    <w:rsid w:val="004E5490"/>
    <w:rsid w:val="004E56B2"/>
    <w:rsid w:val="004E57C2"/>
    <w:rsid w:val="004E6588"/>
    <w:rsid w:val="004E6A68"/>
    <w:rsid w:val="004E72D1"/>
    <w:rsid w:val="004E756F"/>
    <w:rsid w:val="004E7D4D"/>
    <w:rsid w:val="004F05DE"/>
    <w:rsid w:val="004F0662"/>
    <w:rsid w:val="004F066E"/>
    <w:rsid w:val="004F0835"/>
    <w:rsid w:val="004F090A"/>
    <w:rsid w:val="004F0B18"/>
    <w:rsid w:val="004F0C4D"/>
    <w:rsid w:val="004F155E"/>
    <w:rsid w:val="004F18CF"/>
    <w:rsid w:val="004F1FA4"/>
    <w:rsid w:val="004F26F0"/>
    <w:rsid w:val="004F2782"/>
    <w:rsid w:val="004F284D"/>
    <w:rsid w:val="004F29E0"/>
    <w:rsid w:val="004F32D6"/>
    <w:rsid w:val="004F48A9"/>
    <w:rsid w:val="004F4B3A"/>
    <w:rsid w:val="004F5180"/>
    <w:rsid w:val="004F5331"/>
    <w:rsid w:val="004F587D"/>
    <w:rsid w:val="004F5A12"/>
    <w:rsid w:val="004F5F61"/>
    <w:rsid w:val="004F6558"/>
    <w:rsid w:val="004F65D5"/>
    <w:rsid w:val="004F7BE6"/>
    <w:rsid w:val="005006EA"/>
    <w:rsid w:val="00500752"/>
    <w:rsid w:val="00500A31"/>
    <w:rsid w:val="00500A48"/>
    <w:rsid w:val="00500C8B"/>
    <w:rsid w:val="00500D3E"/>
    <w:rsid w:val="00501A6B"/>
    <w:rsid w:val="00502117"/>
    <w:rsid w:val="00502D7E"/>
    <w:rsid w:val="005035D9"/>
    <w:rsid w:val="00503A40"/>
    <w:rsid w:val="00503E81"/>
    <w:rsid w:val="00503F20"/>
    <w:rsid w:val="00504C7D"/>
    <w:rsid w:val="00505173"/>
    <w:rsid w:val="005058C0"/>
    <w:rsid w:val="00505F0D"/>
    <w:rsid w:val="005069EE"/>
    <w:rsid w:val="00506ED1"/>
    <w:rsid w:val="005071AB"/>
    <w:rsid w:val="005077DE"/>
    <w:rsid w:val="005079C4"/>
    <w:rsid w:val="00507DAC"/>
    <w:rsid w:val="00507E16"/>
    <w:rsid w:val="00507E8E"/>
    <w:rsid w:val="005104AD"/>
    <w:rsid w:val="00510766"/>
    <w:rsid w:val="00511154"/>
    <w:rsid w:val="0051197E"/>
    <w:rsid w:val="00511B66"/>
    <w:rsid w:val="00512551"/>
    <w:rsid w:val="00512716"/>
    <w:rsid w:val="0051280B"/>
    <w:rsid w:val="00513238"/>
    <w:rsid w:val="005132A4"/>
    <w:rsid w:val="00513414"/>
    <w:rsid w:val="005136A5"/>
    <w:rsid w:val="00513786"/>
    <w:rsid w:val="0051414C"/>
    <w:rsid w:val="00514541"/>
    <w:rsid w:val="005147AE"/>
    <w:rsid w:val="00514E37"/>
    <w:rsid w:val="00514ED5"/>
    <w:rsid w:val="005153DB"/>
    <w:rsid w:val="00515632"/>
    <w:rsid w:val="00515A4F"/>
    <w:rsid w:val="00515AB5"/>
    <w:rsid w:val="00515C21"/>
    <w:rsid w:val="005160AC"/>
    <w:rsid w:val="00516345"/>
    <w:rsid w:val="005165B4"/>
    <w:rsid w:val="00516B1C"/>
    <w:rsid w:val="005172E2"/>
    <w:rsid w:val="00517B8E"/>
    <w:rsid w:val="00517C6B"/>
    <w:rsid w:val="00517CD4"/>
    <w:rsid w:val="00517E8C"/>
    <w:rsid w:val="0052008E"/>
    <w:rsid w:val="005207E1"/>
    <w:rsid w:val="00520BE9"/>
    <w:rsid w:val="00520BFE"/>
    <w:rsid w:val="00520C83"/>
    <w:rsid w:val="0052121A"/>
    <w:rsid w:val="00521725"/>
    <w:rsid w:val="00521D3F"/>
    <w:rsid w:val="00521F41"/>
    <w:rsid w:val="0052218E"/>
    <w:rsid w:val="00522911"/>
    <w:rsid w:val="00522A49"/>
    <w:rsid w:val="00522B6B"/>
    <w:rsid w:val="00522C04"/>
    <w:rsid w:val="00522E0F"/>
    <w:rsid w:val="0052321E"/>
    <w:rsid w:val="00523373"/>
    <w:rsid w:val="005235CD"/>
    <w:rsid w:val="00523BA9"/>
    <w:rsid w:val="00523CAB"/>
    <w:rsid w:val="00523F28"/>
    <w:rsid w:val="0052413E"/>
    <w:rsid w:val="00524416"/>
    <w:rsid w:val="005249CB"/>
    <w:rsid w:val="00524A1A"/>
    <w:rsid w:val="00524CA2"/>
    <w:rsid w:val="00524D56"/>
    <w:rsid w:val="00524EDA"/>
    <w:rsid w:val="00524FFF"/>
    <w:rsid w:val="00525D1E"/>
    <w:rsid w:val="00526213"/>
    <w:rsid w:val="0052640A"/>
    <w:rsid w:val="005264E9"/>
    <w:rsid w:val="00526615"/>
    <w:rsid w:val="00527048"/>
    <w:rsid w:val="0052707F"/>
    <w:rsid w:val="0052752D"/>
    <w:rsid w:val="005278EA"/>
    <w:rsid w:val="00527A05"/>
    <w:rsid w:val="00527A61"/>
    <w:rsid w:val="0053025E"/>
    <w:rsid w:val="005307B7"/>
    <w:rsid w:val="00530915"/>
    <w:rsid w:val="00530B8B"/>
    <w:rsid w:val="00530E29"/>
    <w:rsid w:val="00530F1D"/>
    <w:rsid w:val="00530FA0"/>
    <w:rsid w:val="0053194C"/>
    <w:rsid w:val="005319C8"/>
    <w:rsid w:val="00531AC3"/>
    <w:rsid w:val="00531CBA"/>
    <w:rsid w:val="00531D65"/>
    <w:rsid w:val="00532395"/>
    <w:rsid w:val="00532996"/>
    <w:rsid w:val="00532A9D"/>
    <w:rsid w:val="00532ECB"/>
    <w:rsid w:val="0053339A"/>
    <w:rsid w:val="00533905"/>
    <w:rsid w:val="00534962"/>
    <w:rsid w:val="00534B6B"/>
    <w:rsid w:val="005350D8"/>
    <w:rsid w:val="00535192"/>
    <w:rsid w:val="00535625"/>
    <w:rsid w:val="005356B9"/>
    <w:rsid w:val="00535D58"/>
    <w:rsid w:val="005361AE"/>
    <w:rsid w:val="00536237"/>
    <w:rsid w:val="0053694F"/>
    <w:rsid w:val="00536A62"/>
    <w:rsid w:val="00536B10"/>
    <w:rsid w:val="00536D70"/>
    <w:rsid w:val="0053703A"/>
    <w:rsid w:val="00537052"/>
    <w:rsid w:val="00537487"/>
    <w:rsid w:val="00537548"/>
    <w:rsid w:val="00540529"/>
    <w:rsid w:val="0054065A"/>
    <w:rsid w:val="005409ED"/>
    <w:rsid w:val="00540ABB"/>
    <w:rsid w:val="00540C02"/>
    <w:rsid w:val="00540CA1"/>
    <w:rsid w:val="00540DB4"/>
    <w:rsid w:val="00540E40"/>
    <w:rsid w:val="00540F85"/>
    <w:rsid w:val="00542004"/>
    <w:rsid w:val="00542822"/>
    <w:rsid w:val="00542A01"/>
    <w:rsid w:val="00542E30"/>
    <w:rsid w:val="00542FEA"/>
    <w:rsid w:val="00543AB9"/>
    <w:rsid w:val="005440D8"/>
    <w:rsid w:val="005443A2"/>
    <w:rsid w:val="0054452E"/>
    <w:rsid w:val="00544B0C"/>
    <w:rsid w:val="0054516C"/>
    <w:rsid w:val="00545296"/>
    <w:rsid w:val="005452D9"/>
    <w:rsid w:val="0054532A"/>
    <w:rsid w:val="005456D5"/>
    <w:rsid w:val="00545C71"/>
    <w:rsid w:val="00545CFF"/>
    <w:rsid w:val="005460DF"/>
    <w:rsid w:val="00546182"/>
    <w:rsid w:val="0054658A"/>
    <w:rsid w:val="005466B9"/>
    <w:rsid w:val="00546870"/>
    <w:rsid w:val="005468BA"/>
    <w:rsid w:val="00546BB4"/>
    <w:rsid w:val="00546C5F"/>
    <w:rsid w:val="00546DE9"/>
    <w:rsid w:val="00546F6B"/>
    <w:rsid w:val="00547595"/>
    <w:rsid w:val="00547EFD"/>
    <w:rsid w:val="00550054"/>
    <w:rsid w:val="0055060E"/>
    <w:rsid w:val="00550989"/>
    <w:rsid w:val="00550C77"/>
    <w:rsid w:val="00550CB5"/>
    <w:rsid w:val="00550F4E"/>
    <w:rsid w:val="005510EB"/>
    <w:rsid w:val="00551134"/>
    <w:rsid w:val="005515E5"/>
    <w:rsid w:val="005521D7"/>
    <w:rsid w:val="00552A54"/>
    <w:rsid w:val="00552ABA"/>
    <w:rsid w:val="00552FCF"/>
    <w:rsid w:val="00553340"/>
    <w:rsid w:val="00553AA8"/>
    <w:rsid w:val="00553C7A"/>
    <w:rsid w:val="00553E24"/>
    <w:rsid w:val="00553E8D"/>
    <w:rsid w:val="00554256"/>
    <w:rsid w:val="005546DF"/>
    <w:rsid w:val="005548B3"/>
    <w:rsid w:val="005548CB"/>
    <w:rsid w:val="00554BF1"/>
    <w:rsid w:val="00554DE4"/>
    <w:rsid w:val="005553EB"/>
    <w:rsid w:val="00555A90"/>
    <w:rsid w:val="00555E79"/>
    <w:rsid w:val="00556286"/>
    <w:rsid w:val="005565C3"/>
    <w:rsid w:val="00556617"/>
    <w:rsid w:val="00556A13"/>
    <w:rsid w:val="00556D6E"/>
    <w:rsid w:val="00556D94"/>
    <w:rsid w:val="00556F14"/>
    <w:rsid w:val="00557A13"/>
    <w:rsid w:val="00557FC2"/>
    <w:rsid w:val="005609D1"/>
    <w:rsid w:val="00560A9F"/>
    <w:rsid w:val="005615F0"/>
    <w:rsid w:val="00561648"/>
    <w:rsid w:val="00561A3C"/>
    <w:rsid w:val="00561D89"/>
    <w:rsid w:val="0056227F"/>
    <w:rsid w:val="00562552"/>
    <w:rsid w:val="00562584"/>
    <w:rsid w:val="005625D6"/>
    <w:rsid w:val="0056273D"/>
    <w:rsid w:val="0056274E"/>
    <w:rsid w:val="005629F7"/>
    <w:rsid w:val="00562BFB"/>
    <w:rsid w:val="00562CF7"/>
    <w:rsid w:val="00562F1F"/>
    <w:rsid w:val="00562FC0"/>
    <w:rsid w:val="005631A8"/>
    <w:rsid w:val="00563E8B"/>
    <w:rsid w:val="005649D3"/>
    <w:rsid w:val="005650C5"/>
    <w:rsid w:val="00565338"/>
    <w:rsid w:val="0056597A"/>
    <w:rsid w:val="00565CA7"/>
    <w:rsid w:val="0056657C"/>
    <w:rsid w:val="00566D92"/>
    <w:rsid w:val="005673C1"/>
    <w:rsid w:val="00567C29"/>
    <w:rsid w:val="00567CEF"/>
    <w:rsid w:val="00567DF8"/>
    <w:rsid w:val="00567F35"/>
    <w:rsid w:val="0057015B"/>
    <w:rsid w:val="0057120A"/>
    <w:rsid w:val="00571CC2"/>
    <w:rsid w:val="0057216E"/>
    <w:rsid w:val="0057257D"/>
    <w:rsid w:val="00572904"/>
    <w:rsid w:val="00572924"/>
    <w:rsid w:val="0057295A"/>
    <w:rsid w:val="0057379B"/>
    <w:rsid w:val="00573A62"/>
    <w:rsid w:val="00574247"/>
    <w:rsid w:val="00574F77"/>
    <w:rsid w:val="005768D1"/>
    <w:rsid w:val="00576967"/>
    <w:rsid w:val="00577909"/>
    <w:rsid w:val="00577F48"/>
    <w:rsid w:val="0058011E"/>
    <w:rsid w:val="005807C3"/>
    <w:rsid w:val="00580A6F"/>
    <w:rsid w:val="00581299"/>
    <w:rsid w:val="00581A38"/>
    <w:rsid w:val="00581AC8"/>
    <w:rsid w:val="00581FDE"/>
    <w:rsid w:val="00582C9B"/>
    <w:rsid w:val="00582DED"/>
    <w:rsid w:val="00582E3E"/>
    <w:rsid w:val="00582F38"/>
    <w:rsid w:val="00583344"/>
    <w:rsid w:val="005835BF"/>
    <w:rsid w:val="00584586"/>
    <w:rsid w:val="00584C6E"/>
    <w:rsid w:val="00584CE7"/>
    <w:rsid w:val="00584E0B"/>
    <w:rsid w:val="005854A1"/>
    <w:rsid w:val="005854C6"/>
    <w:rsid w:val="00586305"/>
    <w:rsid w:val="00586597"/>
    <w:rsid w:val="00586711"/>
    <w:rsid w:val="00586849"/>
    <w:rsid w:val="00586F0C"/>
    <w:rsid w:val="0058703F"/>
    <w:rsid w:val="00587139"/>
    <w:rsid w:val="00587154"/>
    <w:rsid w:val="00587179"/>
    <w:rsid w:val="005871A0"/>
    <w:rsid w:val="005872E8"/>
    <w:rsid w:val="00587C9A"/>
    <w:rsid w:val="005906A6"/>
    <w:rsid w:val="00590B51"/>
    <w:rsid w:val="00590D98"/>
    <w:rsid w:val="005911CE"/>
    <w:rsid w:val="00591205"/>
    <w:rsid w:val="00591DA3"/>
    <w:rsid w:val="0059207C"/>
    <w:rsid w:val="005922A7"/>
    <w:rsid w:val="00592B7A"/>
    <w:rsid w:val="00592C64"/>
    <w:rsid w:val="00593942"/>
    <w:rsid w:val="00593BDE"/>
    <w:rsid w:val="0059402B"/>
    <w:rsid w:val="00594111"/>
    <w:rsid w:val="00594534"/>
    <w:rsid w:val="00594AB6"/>
    <w:rsid w:val="00594AC6"/>
    <w:rsid w:val="00595285"/>
    <w:rsid w:val="005952B2"/>
    <w:rsid w:val="005959FB"/>
    <w:rsid w:val="00595C54"/>
    <w:rsid w:val="00595F1E"/>
    <w:rsid w:val="0059668B"/>
    <w:rsid w:val="00596863"/>
    <w:rsid w:val="00596B8D"/>
    <w:rsid w:val="00596C96"/>
    <w:rsid w:val="005974D9"/>
    <w:rsid w:val="005A07C8"/>
    <w:rsid w:val="005A094A"/>
    <w:rsid w:val="005A0B86"/>
    <w:rsid w:val="005A0C27"/>
    <w:rsid w:val="005A0D1A"/>
    <w:rsid w:val="005A172E"/>
    <w:rsid w:val="005A1B7E"/>
    <w:rsid w:val="005A20E9"/>
    <w:rsid w:val="005A27EB"/>
    <w:rsid w:val="005A2A14"/>
    <w:rsid w:val="005A2A4F"/>
    <w:rsid w:val="005A301E"/>
    <w:rsid w:val="005A3463"/>
    <w:rsid w:val="005A4054"/>
    <w:rsid w:val="005A405E"/>
    <w:rsid w:val="005A4454"/>
    <w:rsid w:val="005A44A0"/>
    <w:rsid w:val="005A46D2"/>
    <w:rsid w:val="005A50BF"/>
    <w:rsid w:val="005A5BE9"/>
    <w:rsid w:val="005A65B2"/>
    <w:rsid w:val="005A6F75"/>
    <w:rsid w:val="005A7501"/>
    <w:rsid w:val="005A7850"/>
    <w:rsid w:val="005A7BA6"/>
    <w:rsid w:val="005B0986"/>
    <w:rsid w:val="005B1001"/>
    <w:rsid w:val="005B15D7"/>
    <w:rsid w:val="005B1786"/>
    <w:rsid w:val="005B1984"/>
    <w:rsid w:val="005B19B9"/>
    <w:rsid w:val="005B1FF7"/>
    <w:rsid w:val="005B205D"/>
    <w:rsid w:val="005B2693"/>
    <w:rsid w:val="005B26D3"/>
    <w:rsid w:val="005B271C"/>
    <w:rsid w:val="005B273A"/>
    <w:rsid w:val="005B2998"/>
    <w:rsid w:val="005B3883"/>
    <w:rsid w:val="005B38BB"/>
    <w:rsid w:val="005B3E13"/>
    <w:rsid w:val="005B3FED"/>
    <w:rsid w:val="005B45A1"/>
    <w:rsid w:val="005B5094"/>
    <w:rsid w:val="005B50FD"/>
    <w:rsid w:val="005B56FB"/>
    <w:rsid w:val="005B5875"/>
    <w:rsid w:val="005B5A76"/>
    <w:rsid w:val="005B5B25"/>
    <w:rsid w:val="005B5C39"/>
    <w:rsid w:val="005B5FFF"/>
    <w:rsid w:val="005B6536"/>
    <w:rsid w:val="005B6554"/>
    <w:rsid w:val="005B6DBA"/>
    <w:rsid w:val="005B6FB1"/>
    <w:rsid w:val="005B73D2"/>
    <w:rsid w:val="005B7824"/>
    <w:rsid w:val="005C08CB"/>
    <w:rsid w:val="005C124D"/>
    <w:rsid w:val="005C162F"/>
    <w:rsid w:val="005C17FA"/>
    <w:rsid w:val="005C1964"/>
    <w:rsid w:val="005C28A1"/>
    <w:rsid w:val="005C2FE7"/>
    <w:rsid w:val="005C3112"/>
    <w:rsid w:val="005C3224"/>
    <w:rsid w:val="005C3C50"/>
    <w:rsid w:val="005C3D0D"/>
    <w:rsid w:val="005C3F59"/>
    <w:rsid w:val="005C4A7C"/>
    <w:rsid w:val="005C4D25"/>
    <w:rsid w:val="005C4FC7"/>
    <w:rsid w:val="005C52BD"/>
    <w:rsid w:val="005C53B3"/>
    <w:rsid w:val="005C59C9"/>
    <w:rsid w:val="005C5DCB"/>
    <w:rsid w:val="005C6327"/>
    <w:rsid w:val="005C70E4"/>
    <w:rsid w:val="005C76F6"/>
    <w:rsid w:val="005C7A3C"/>
    <w:rsid w:val="005D0682"/>
    <w:rsid w:val="005D0C23"/>
    <w:rsid w:val="005D17B2"/>
    <w:rsid w:val="005D1B66"/>
    <w:rsid w:val="005D2425"/>
    <w:rsid w:val="005D2955"/>
    <w:rsid w:val="005D2F89"/>
    <w:rsid w:val="005D2FEA"/>
    <w:rsid w:val="005D334B"/>
    <w:rsid w:val="005D384E"/>
    <w:rsid w:val="005D38EE"/>
    <w:rsid w:val="005D39D4"/>
    <w:rsid w:val="005D3CDC"/>
    <w:rsid w:val="005D3E34"/>
    <w:rsid w:val="005D461B"/>
    <w:rsid w:val="005D470C"/>
    <w:rsid w:val="005D477D"/>
    <w:rsid w:val="005D4E6E"/>
    <w:rsid w:val="005D4F4A"/>
    <w:rsid w:val="005D5393"/>
    <w:rsid w:val="005D5898"/>
    <w:rsid w:val="005D61DA"/>
    <w:rsid w:val="005D6DDC"/>
    <w:rsid w:val="005D7171"/>
    <w:rsid w:val="005D7430"/>
    <w:rsid w:val="005D76CD"/>
    <w:rsid w:val="005D7717"/>
    <w:rsid w:val="005D7A3F"/>
    <w:rsid w:val="005E0041"/>
    <w:rsid w:val="005E00A2"/>
    <w:rsid w:val="005E0520"/>
    <w:rsid w:val="005E063D"/>
    <w:rsid w:val="005E0965"/>
    <w:rsid w:val="005E0ADB"/>
    <w:rsid w:val="005E0CB6"/>
    <w:rsid w:val="005E0EFC"/>
    <w:rsid w:val="005E10BD"/>
    <w:rsid w:val="005E1407"/>
    <w:rsid w:val="005E1C2F"/>
    <w:rsid w:val="005E1D1B"/>
    <w:rsid w:val="005E2BDF"/>
    <w:rsid w:val="005E3294"/>
    <w:rsid w:val="005E335F"/>
    <w:rsid w:val="005E36C5"/>
    <w:rsid w:val="005E3D19"/>
    <w:rsid w:val="005E4173"/>
    <w:rsid w:val="005E4419"/>
    <w:rsid w:val="005E47C5"/>
    <w:rsid w:val="005E4D50"/>
    <w:rsid w:val="005E4EC9"/>
    <w:rsid w:val="005E4EE6"/>
    <w:rsid w:val="005E55FC"/>
    <w:rsid w:val="005E5A7B"/>
    <w:rsid w:val="005E5B31"/>
    <w:rsid w:val="005E5D43"/>
    <w:rsid w:val="005E63A5"/>
    <w:rsid w:val="005E6A19"/>
    <w:rsid w:val="005E6B7E"/>
    <w:rsid w:val="005E6FD1"/>
    <w:rsid w:val="005E70CA"/>
    <w:rsid w:val="005E751F"/>
    <w:rsid w:val="005E768D"/>
    <w:rsid w:val="005E76AC"/>
    <w:rsid w:val="005E76F2"/>
    <w:rsid w:val="005F0144"/>
    <w:rsid w:val="005F01E6"/>
    <w:rsid w:val="005F0221"/>
    <w:rsid w:val="005F0584"/>
    <w:rsid w:val="005F09F7"/>
    <w:rsid w:val="005F0AC6"/>
    <w:rsid w:val="005F0E30"/>
    <w:rsid w:val="005F11C4"/>
    <w:rsid w:val="005F1387"/>
    <w:rsid w:val="005F1A86"/>
    <w:rsid w:val="005F1AE2"/>
    <w:rsid w:val="005F1FA0"/>
    <w:rsid w:val="005F2EBC"/>
    <w:rsid w:val="005F2F5A"/>
    <w:rsid w:val="005F3035"/>
    <w:rsid w:val="005F311E"/>
    <w:rsid w:val="005F3525"/>
    <w:rsid w:val="005F3862"/>
    <w:rsid w:val="005F3EDA"/>
    <w:rsid w:val="005F42D4"/>
    <w:rsid w:val="005F44DF"/>
    <w:rsid w:val="005F4696"/>
    <w:rsid w:val="005F475D"/>
    <w:rsid w:val="005F48C9"/>
    <w:rsid w:val="005F4A95"/>
    <w:rsid w:val="005F4BC9"/>
    <w:rsid w:val="005F517A"/>
    <w:rsid w:val="005F55D9"/>
    <w:rsid w:val="005F5633"/>
    <w:rsid w:val="005F57AF"/>
    <w:rsid w:val="005F5D13"/>
    <w:rsid w:val="005F5E08"/>
    <w:rsid w:val="005F5F01"/>
    <w:rsid w:val="005F6088"/>
    <w:rsid w:val="005F61F2"/>
    <w:rsid w:val="005F61FD"/>
    <w:rsid w:val="005F6348"/>
    <w:rsid w:val="005F6E04"/>
    <w:rsid w:val="005F707B"/>
    <w:rsid w:val="005F75F5"/>
    <w:rsid w:val="005F7667"/>
    <w:rsid w:val="005F792B"/>
    <w:rsid w:val="00600293"/>
    <w:rsid w:val="0060056D"/>
    <w:rsid w:val="00600AE3"/>
    <w:rsid w:val="006016C0"/>
    <w:rsid w:val="00601CBC"/>
    <w:rsid w:val="00601D53"/>
    <w:rsid w:val="006020E5"/>
    <w:rsid w:val="006024AD"/>
    <w:rsid w:val="00602A3C"/>
    <w:rsid w:val="00602A68"/>
    <w:rsid w:val="00602C05"/>
    <w:rsid w:val="00605265"/>
    <w:rsid w:val="00605373"/>
    <w:rsid w:val="006056DF"/>
    <w:rsid w:val="00606B91"/>
    <w:rsid w:val="00607251"/>
    <w:rsid w:val="00607275"/>
    <w:rsid w:val="006072FB"/>
    <w:rsid w:val="0060730F"/>
    <w:rsid w:val="00607610"/>
    <w:rsid w:val="00607E68"/>
    <w:rsid w:val="006100AC"/>
    <w:rsid w:val="0061055A"/>
    <w:rsid w:val="00610A32"/>
    <w:rsid w:val="00610ACD"/>
    <w:rsid w:val="00610E88"/>
    <w:rsid w:val="00611088"/>
    <w:rsid w:val="00611090"/>
    <w:rsid w:val="006111E2"/>
    <w:rsid w:val="0061136E"/>
    <w:rsid w:val="0061168D"/>
    <w:rsid w:val="00612081"/>
    <w:rsid w:val="006126C7"/>
    <w:rsid w:val="0061298D"/>
    <w:rsid w:val="006129B0"/>
    <w:rsid w:val="00612BBB"/>
    <w:rsid w:val="00612C65"/>
    <w:rsid w:val="0061343D"/>
    <w:rsid w:val="006137A0"/>
    <w:rsid w:val="00614128"/>
    <w:rsid w:val="006149A4"/>
    <w:rsid w:val="006150A3"/>
    <w:rsid w:val="00615306"/>
    <w:rsid w:val="00615743"/>
    <w:rsid w:val="006158F4"/>
    <w:rsid w:val="00615A42"/>
    <w:rsid w:val="00615B9A"/>
    <w:rsid w:val="006167DA"/>
    <w:rsid w:val="00616A46"/>
    <w:rsid w:val="00616B2E"/>
    <w:rsid w:val="00617D10"/>
    <w:rsid w:val="006200DC"/>
    <w:rsid w:val="0062060E"/>
    <w:rsid w:val="0062075C"/>
    <w:rsid w:val="00620C36"/>
    <w:rsid w:val="00620C57"/>
    <w:rsid w:val="00621A7A"/>
    <w:rsid w:val="00622789"/>
    <w:rsid w:val="00622841"/>
    <w:rsid w:val="006228AB"/>
    <w:rsid w:val="00622D8C"/>
    <w:rsid w:val="00623163"/>
    <w:rsid w:val="006233DE"/>
    <w:rsid w:val="006235BA"/>
    <w:rsid w:val="0062363A"/>
    <w:rsid w:val="0062364B"/>
    <w:rsid w:val="00623DBA"/>
    <w:rsid w:val="00623FE0"/>
    <w:rsid w:val="0062417E"/>
    <w:rsid w:val="006242BB"/>
    <w:rsid w:val="006245F6"/>
    <w:rsid w:val="00625326"/>
    <w:rsid w:val="00625533"/>
    <w:rsid w:val="0062584E"/>
    <w:rsid w:val="00626067"/>
    <w:rsid w:val="00626821"/>
    <w:rsid w:val="00626854"/>
    <w:rsid w:val="00626A9D"/>
    <w:rsid w:val="00626DD5"/>
    <w:rsid w:val="00627AA9"/>
    <w:rsid w:val="0063043F"/>
    <w:rsid w:val="00631DA2"/>
    <w:rsid w:val="00631DCB"/>
    <w:rsid w:val="00632368"/>
    <w:rsid w:val="00632563"/>
    <w:rsid w:val="006325D0"/>
    <w:rsid w:val="00632D45"/>
    <w:rsid w:val="00632FCB"/>
    <w:rsid w:val="00633036"/>
    <w:rsid w:val="006332C9"/>
    <w:rsid w:val="006336F0"/>
    <w:rsid w:val="00633ADC"/>
    <w:rsid w:val="0063432F"/>
    <w:rsid w:val="006343E3"/>
    <w:rsid w:val="00634740"/>
    <w:rsid w:val="00634796"/>
    <w:rsid w:val="0063497C"/>
    <w:rsid w:val="006353F5"/>
    <w:rsid w:val="006357CC"/>
    <w:rsid w:val="00635C20"/>
    <w:rsid w:val="006361FC"/>
    <w:rsid w:val="00636A47"/>
    <w:rsid w:val="00637AA2"/>
    <w:rsid w:val="00637B3B"/>
    <w:rsid w:val="0064068E"/>
    <w:rsid w:val="00640C62"/>
    <w:rsid w:val="00640D84"/>
    <w:rsid w:val="00641F10"/>
    <w:rsid w:val="00641FB2"/>
    <w:rsid w:val="00642776"/>
    <w:rsid w:val="0064287F"/>
    <w:rsid w:val="00643A54"/>
    <w:rsid w:val="00643B1E"/>
    <w:rsid w:val="0064455D"/>
    <w:rsid w:val="00644E1E"/>
    <w:rsid w:val="0064508E"/>
    <w:rsid w:val="006450E9"/>
    <w:rsid w:val="006450ED"/>
    <w:rsid w:val="0064546B"/>
    <w:rsid w:val="00645477"/>
    <w:rsid w:val="00645878"/>
    <w:rsid w:val="00645959"/>
    <w:rsid w:val="00645D4C"/>
    <w:rsid w:val="00646156"/>
    <w:rsid w:val="0064636F"/>
    <w:rsid w:val="006465FE"/>
    <w:rsid w:val="006467A0"/>
    <w:rsid w:val="00646E7A"/>
    <w:rsid w:val="00647152"/>
    <w:rsid w:val="00647447"/>
    <w:rsid w:val="00647B86"/>
    <w:rsid w:val="00647E07"/>
    <w:rsid w:val="00650B1C"/>
    <w:rsid w:val="00650BDE"/>
    <w:rsid w:val="00650CD6"/>
    <w:rsid w:val="006512E9"/>
    <w:rsid w:val="006513ED"/>
    <w:rsid w:val="00651618"/>
    <w:rsid w:val="00651845"/>
    <w:rsid w:val="00651B87"/>
    <w:rsid w:val="00651D2B"/>
    <w:rsid w:val="00652C3A"/>
    <w:rsid w:val="00652EFD"/>
    <w:rsid w:val="00653505"/>
    <w:rsid w:val="00654071"/>
    <w:rsid w:val="00654283"/>
    <w:rsid w:val="00655740"/>
    <w:rsid w:val="006558B9"/>
    <w:rsid w:val="00655ACA"/>
    <w:rsid w:val="00656088"/>
    <w:rsid w:val="00656232"/>
    <w:rsid w:val="00656A5D"/>
    <w:rsid w:val="00656A93"/>
    <w:rsid w:val="0065743C"/>
    <w:rsid w:val="006576F9"/>
    <w:rsid w:val="006578E1"/>
    <w:rsid w:val="006579FB"/>
    <w:rsid w:val="00657E5F"/>
    <w:rsid w:val="00660382"/>
    <w:rsid w:val="00660859"/>
    <w:rsid w:val="00660D82"/>
    <w:rsid w:val="00661ADE"/>
    <w:rsid w:val="00661D8D"/>
    <w:rsid w:val="00661ECF"/>
    <w:rsid w:val="00661FB7"/>
    <w:rsid w:val="00662157"/>
    <w:rsid w:val="00662188"/>
    <w:rsid w:val="00662439"/>
    <w:rsid w:val="00662AF7"/>
    <w:rsid w:val="00662BA4"/>
    <w:rsid w:val="006630AD"/>
    <w:rsid w:val="00663140"/>
    <w:rsid w:val="006634F6"/>
    <w:rsid w:val="00663500"/>
    <w:rsid w:val="00663B3B"/>
    <w:rsid w:val="00663CE7"/>
    <w:rsid w:val="00663D5B"/>
    <w:rsid w:val="00663D97"/>
    <w:rsid w:val="00664327"/>
    <w:rsid w:val="00664348"/>
    <w:rsid w:val="0066488D"/>
    <w:rsid w:val="00664AB1"/>
    <w:rsid w:val="00664EE1"/>
    <w:rsid w:val="0066528E"/>
    <w:rsid w:val="00666259"/>
    <w:rsid w:val="006662D1"/>
    <w:rsid w:val="00666554"/>
    <w:rsid w:val="00666636"/>
    <w:rsid w:val="00667164"/>
    <w:rsid w:val="0066749C"/>
    <w:rsid w:val="00670172"/>
    <w:rsid w:val="006707C0"/>
    <w:rsid w:val="006707F5"/>
    <w:rsid w:val="00670A6A"/>
    <w:rsid w:val="006714F2"/>
    <w:rsid w:val="00672006"/>
    <w:rsid w:val="0067230A"/>
    <w:rsid w:val="006725F8"/>
    <w:rsid w:val="0067261B"/>
    <w:rsid w:val="00672849"/>
    <w:rsid w:val="00674288"/>
    <w:rsid w:val="006744D9"/>
    <w:rsid w:val="00674E73"/>
    <w:rsid w:val="00675416"/>
    <w:rsid w:val="006759F3"/>
    <w:rsid w:val="006760CC"/>
    <w:rsid w:val="0067632D"/>
    <w:rsid w:val="0067677F"/>
    <w:rsid w:val="00676783"/>
    <w:rsid w:val="00676E88"/>
    <w:rsid w:val="006771A0"/>
    <w:rsid w:val="00677518"/>
    <w:rsid w:val="00677876"/>
    <w:rsid w:val="006779A4"/>
    <w:rsid w:val="00677B23"/>
    <w:rsid w:val="00682868"/>
    <w:rsid w:val="006828E7"/>
    <w:rsid w:val="00682B32"/>
    <w:rsid w:val="00683216"/>
    <w:rsid w:val="00683ABD"/>
    <w:rsid w:val="00684A8E"/>
    <w:rsid w:val="0068509B"/>
    <w:rsid w:val="006854DD"/>
    <w:rsid w:val="00685659"/>
    <w:rsid w:val="00685A07"/>
    <w:rsid w:val="00685E6C"/>
    <w:rsid w:val="00685F9F"/>
    <w:rsid w:val="00685FBF"/>
    <w:rsid w:val="00686168"/>
    <w:rsid w:val="00686250"/>
    <w:rsid w:val="00687169"/>
    <w:rsid w:val="00687353"/>
    <w:rsid w:val="006878AD"/>
    <w:rsid w:val="00687CF5"/>
    <w:rsid w:val="00690E05"/>
    <w:rsid w:val="00690FB6"/>
    <w:rsid w:val="006917EE"/>
    <w:rsid w:val="00691ABA"/>
    <w:rsid w:val="00691B8B"/>
    <w:rsid w:val="006920F6"/>
    <w:rsid w:val="0069227E"/>
    <w:rsid w:val="006928ED"/>
    <w:rsid w:val="00692958"/>
    <w:rsid w:val="00692ADA"/>
    <w:rsid w:val="00693A1E"/>
    <w:rsid w:val="00693BEC"/>
    <w:rsid w:val="00693F02"/>
    <w:rsid w:val="0069407E"/>
    <w:rsid w:val="00694443"/>
    <w:rsid w:val="00694546"/>
    <w:rsid w:val="006945D6"/>
    <w:rsid w:val="006945DC"/>
    <w:rsid w:val="00694AA1"/>
    <w:rsid w:val="00694BD4"/>
    <w:rsid w:val="00694CD6"/>
    <w:rsid w:val="00695726"/>
    <w:rsid w:val="00695795"/>
    <w:rsid w:val="00695801"/>
    <w:rsid w:val="006958BE"/>
    <w:rsid w:val="00695D73"/>
    <w:rsid w:val="0069602F"/>
    <w:rsid w:val="006960FE"/>
    <w:rsid w:val="00696201"/>
    <w:rsid w:val="00696ABC"/>
    <w:rsid w:val="00696BDC"/>
    <w:rsid w:val="00696D08"/>
    <w:rsid w:val="00697739"/>
    <w:rsid w:val="00697AEF"/>
    <w:rsid w:val="006A06B7"/>
    <w:rsid w:val="006A06DB"/>
    <w:rsid w:val="006A0728"/>
    <w:rsid w:val="006A0826"/>
    <w:rsid w:val="006A0D2E"/>
    <w:rsid w:val="006A0D73"/>
    <w:rsid w:val="006A0DB6"/>
    <w:rsid w:val="006A108A"/>
    <w:rsid w:val="006A1BDA"/>
    <w:rsid w:val="006A1D75"/>
    <w:rsid w:val="006A1DF6"/>
    <w:rsid w:val="006A27F2"/>
    <w:rsid w:val="006A2F72"/>
    <w:rsid w:val="006A3063"/>
    <w:rsid w:val="006A3287"/>
    <w:rsid w:val="006A34E0"/>
    <w:rsid w:val="006A37B2"/>
    <w:rsid w:val="006A3D86"/>
    <w:rsid w:val="006A3E3C"/>
    <w:rsid w:val="006A3F2F"/>
    <w:rsid w:val="006A41A5"/>
    <w:rsid w:val="006A485A"/>
    <w:rsid w:val="006A4B93"/>
    <w:rsid w:val="006A574D"/>
    <w:rsid w:val="006A5819"/>
    <w:rsid w:val="006A591C"/>
    <w:rsid w:val="006A5A43"/>
    <w:rsid w:val="006A5B32"/>
    <w:rsid w:val="006A6671"/>
    <w:rsid w:val="006A6B5D"/>
    <w:rsid w:val="006A75CD"/>
    <w:rsid w:val="006A7877"/>
    <w:rsid w:val="006A795F"/>
    <w:rsid w:val="006A7E4D"/>
    <w:rsid w:val="006B0646"/>
    <w:rsid w:val="006B0948"/>
    <w:rsid w:val="006B1102"/>
    <w:rsid w:val="006B1471"/>
    <w:rsid w:val="006B1772"/>
    <w:rsid w:val="006B1B60"/>
    <w:rsid w:val="006B1F1D"/>
    <w:rsid w:val="006B2DFB"/>
    <w:rsid w:val="006B3365"/>
    <w:rsid w:val="006B34F4"/>
    <w:rsid w:val="006B35C7"/>
    <w:rsid w:val="006B365E"/>
    <w:rsid w:val="006B3A79"/>
    <w:rsid w:val="006B3C37"/>
    <w:rsid w:val="006B4EAA"/>
    <w:rsid w:val="006B4F1F"/>
    <w:rsid w:val="006B4F5A"/>
    <w:rsid w:val="006B5410"/>
    <w:rsid w:val="006B5C06"/>
    <w:rsid w:val="006B5FA9"/>
    <w:rsid w:val="006B62EF"/>
    <w:rsid w:val="006B638F"/>
    <w:rsid w:val="006B6EE3"/>
    <w:rsid w:val="006B7550"/>
    <w:rsid w:val="006B7A2F"/>
    <w:rsid w:val="006B7B8A"/>
    <w:rsid w:val="006B7F87"/>
    <w:rsid w:val="006C00B1"/>
    <w:rsid w:val="006C04BC"/>
    <w:rsid w:val="006C0C6A"/>
    <w:rsid w:val="006C0CD5"/>
    <w:rsid w:val="006C0E8A"/>
    <w:rsid w:val="006C1098"/>
    <w:rsid w:val="006C15EB"/>
    <w:rsid w:val="006C20D3"/>
    <w:rsid w:val="006C244B"/>
    <w:rsid w:val="006C2602"/>
    <w:rsid w:val="006C27F3"/>
    <w:rsid w:val="006C2CD8"/>
    <w:rsid w:val="006C31C0"/>
    <w:rsid w:val="006C35CA"/>
    <w:rsid w:val="006C3701"/>
    <w:rsid w:val="006C3939"/>
    <w:rsid w:val="006C3BD9"/>
    <w:rsid w:val="006C3C6E"/>
    <w:rsid w:val="006C4275"/>
    <w:rsid w:val="006C4A50"/>
    <w:rsid w:val="006C4DC0"/>
    <w:rsid w:val="006C52EF"/>
    <w:rsid w:val="006C5457"/>
    <w:rsid w:val="006C6267"/>
    <w:rsid w:val="006C6B55"/>
    <w:rsid w:val="006C6CC7"/>
    <w:rsid w:val="006C70A4"/>
    <w:rsid w:val="006C70EE"/>
    <w:rsid w:val="006C7141"/>
    <w:rsid w:val="006C71E0"/>
    <w:rsid w:val="006C7CCF"/>
    <w:rsid w:val="006D0F80"/>
    <w:rsid w:val="006D1681"/>
    <w:rsid w:val="006D1BD0"/>
    <w:rsid w:val="006D1CEB"/>
    <w:rsid w:val="006D1E52"/>
    <w:rsid w:val="006D243C"/>
    <w:rsid w:val="006D2541"/>
    <w:rsid w:val="006D3341"/>
    <w:rsid w:val="006D43BF"/>
    <w:rsid w:val="006D4B1D"/>
    <w:rsid w:val="006D550D"/>
    <w:rsid w:val="006D6167"/>
    <w:rsid w:val="006D6654"/>
    <w:rsid w:val="006D6A1B"/>
    <w:rsid w:val="006D72F4"/>
    <w:rsid w:val="006D7668"/>
    <w:rsid w:val="006D781C"/>
    <w:rsid w:val="006D7AF5"/>
    <w:rsid w:val="006D7DC5"/>
    <w:rsid w:val="006D7F8C"/>
    <w:rsid w:val="006E07A7"/>
    <w:rsid w:val="006E0E9D"/>
    <w:rsid w:val="006E1A3D"/>
    <w:rsid w:val="006E1C86"/>
    <w:rsid w:val="006E1D25"/>
    <w:rsid w:val="006E291D"/>
    <w:rsid w:val="006E2BA4"/>
    <w:rsid w:val="006E4126"/>
    <w:rsid w:val="006E4494"/>
    <w:rsid w:val="006E46DF"/>
    <w:rsid w:val="006E5789"/>
    <w:rsid w:val="006E63DE"/>
    <w:rsid w:val="006E6548"/>
    <w:rsid w:val="006E6639"/>
    <w:rsid w:val="006E6A21"/>
    <w:rsid w:val="006E6BEB"/>
    <w:rsid w:val="006E6E71"/>
    <w:rsid w:val="006E6FB4"/>
    <w:rsid w:val="006E709D"/>
    <w:rsid w:val="006E70D0"/>
    <w:rsid w:val="006E7177"/>
    <w:rsid w:val="006E729C"/>
    <w:rsid w:val="006E7368"/>
    <w:rsid w:val="006E75E9"/>
    <w:rsid w:val="006E7E18"/>
    <w:rsid w:val="006F0522"/>
    <w:rsid w:val="006F0739"/>
    <w:rsid w:val="006F0884"/>
    <w:rsid w:val="006F0E96"/>
    <w:rsid w:val="006F0EA6"/>
    <w:rsid w:val="006F155D"/>
    <w:rsid w:val="006F157B"/>
    <w:rsid w:val="006F21A3"/>
    <w:rsid w:val="006F2B2D"/>
    <w:rsid w:val="006F2C01"/>
    <w:rsid w:val="006F35AE"/>
    <w:rsid w:val="006F36D2"/>
    <w:rsid w:val="006F4108"/>
    <w:rsid w:val="006F48E7"/>
    <w:rsid w:val="006F5611"/>
    <w:rsid w:val="006F58B0"/>
    <w:rsid w:val="006F5D31"/>
    <w:rsid w:val="006F5D54"/>
    <w:rsid w:val="006F7583"/>
    <w:rsid w:val="006F7C65"/>
    <w:rsid w:val="006F7D5F"/>
    <w:rsid w:val="00700498"/>
    <w:rsid w:val="00700666"/>
    <w:rsid w:val="0070088E"/>
    <w:rsid w:val="00701233"/>
    <w:rsid w:val="00701511"/>
    <w:rsid w:val="0070191B"/>
    <w:rsid w:val="00702DAB"/>
    <w:rsid w:val="007030D5"/>
    <w:rsid w:val="007032A9"/>
    <w:rsid w:val="007033A6"/>
    <w:rsid w:val="007033B1"/>
    <w:rsid w:val="00703ED9"/>
    <w:rsid w:val="00703F45"/>
    <w:rsid w:val="00704AA9"/>
    <w:rsid w:val="00704D79"/>
    <w:rsid w:val="00705143"/>
    <w:rsid w:val="007052BD"/>
    <w:rsid w:val="00705D72"/>
    <w:rsid w:val="00706491"/>
    <w:rsid w:val="007067A0"/>
    <w:rsid w:val="0070688A"/>
    <w:rsid w:val="00706A69"/>
    <w:rsid w:val="00706C0F"/>
    <w:rsid w:val="00706EEB"/>
    <w:rsid w:val="00706F7D"/>
    <w:rsid w:val="00707134"/>
    <w:rsid w:val="0070714E"/>
    <w:rsid w:val="00707258"/>
    <w:rsid w:val="00707273"/>
    <w:rsid w:val="00707DC3"/>
    <w:rsid w:val="00710322"/>
    <w:rsid w:val="007105A7"/>
    <w:rsid w:val="007107B4"/>
    <w:rsid w:val="00710DE4"/>
    <w:rsid w:val="00710F68"/>
    <w:rsid w:val="00710FF4"/>
    <w:rsid w:val="007116CE"/>
    <w:rsid w:val="00712223"/>
    <w:rsid w:val="007125BC"/>
    <w:rsid w:val="007126DB"/>
    <w:rsid w:val="007130FC"/>
    <w:rsid w:val="0071322B"/>
    <w:rsid w:val="00713976"/>
    <w:rsid w:val="00713C5C"/>
    <w:rsid w:val="00713D48"/>
    <w:rsid w:val="0071400F"/>
    <w:rsid w:val="0071431C"/>
    <w:rsid w:val="0071438F"/>
    <w:rsid w:val="007148A5"/>
    <w:rsid w:val="00714FBD"/>
    <w:rsid w:val="00715E55"/>
    <w:rsid w:val="007169C6"/>
    <w:rsid w:val="007169F7"/>
    <w:rsid w:val="00717370"/>
    <w:rsid w:val="0072072F"/>
    <w:rsid w:val="00720892"/>
    <w:rsid w:val="00720F3C"/>
    <w:rsid w:val="00721152"/>
    <w:rsid w:val="0072135F"/>
    <w:rsid w:val="0072137E"/>
    <w:rsid w:val="0072150B"/>
    <w:rsid w:val="007218B3"/>
    <w:rsid w:val="00721D38"/>
    <w:rsid w:val="00721DA5"/>
    <w:rsid w:val="00722607"/>
    <w:rsid w:val="00722B23"/>
    <w:rsid w:val="00722FD8"/>
    <w:rsid w:val="00723084"/>
    <w:rsid w:val="007235F8"/>
    <w:rsid w:val="00723849"/>
    <w:rsid w:val="00723B16"/>
    <w:rsid w:val="00723B26"/>
    <w:rsid w:val="00723F8C"/>
    <w:rsid w:val="007246E5"/>
    <w:rsid w:val="0072535C"/>
    <w:rsid w:val="00725A27"/>
    <w:rsid w:val="00725BB4"/>
    <w:rsid w:val="00725FC6"/>
    <w:rsid w:val="00726402"/>
    <w:rsid w:val="0072670B"/>
    <w:rsid w:val="0072672E"/>
    <w:rsid w:val="00726953"/>
    <w:rsid w:val="00726F97"/>
    <w:rsid w:val="007274BC"/>
    <w:rsid w:val="00727743"/>
    <w:rsid w:val="00727B84"/>
    <w:rsid w:val="00727F09"/>
    <w:rsid w:val="00730107"/>
    <w:rsid w:val="007303E8"/>
    <w:rsid w:val="0073068D"/>
    <w:rsid w:val="00730FCC"/>
    <w:rsid w:val="00731041"/>
    <w:rsid w:val="00731978"/>
    <w:rsid w:val="00732819"/>
    <w:rsid w:val="00732A9D"/>
    <w:rsid w:val="00733076"/>
    <w:rsid w:val="007331FA"/>
    <w:rsid w:val="00733F72"/>
    <w:rsid w:val="0073435D"/>
    <w:rsid w:val="007347B9"/>
    <w:rsid w:val="0073491C"/>
    <w:rsid w:val="00734EFF"/>
    <w:rsid w:val="007354FD"/>
    <w:rsid w:val="00735DA0"/>
    <w:rsid w:val="00735E64"/>
    <w:rsid w:val="007365EB"/>
    <w:rsid w:val="00736792"/>
    <w:rsid w:val="00736829"/>
    <w:rsid w:val="00736EFE"/>
    <w:rsid w:val="00737199"/>
    <w:rsid w:val="00737567"/>
    <w:rsid w:val="00737FD8"/>
    <w:rsid w:val="0074008A"/>
    <w:rsid w:val="0074008B"/>
    <w:rsid w:val="00740C8D"/>
    <w:rsid w:val="00740F8A"/>
    <w:rsid w:val="00741066"/>
    <w:rsid w:val="0074160C"/>
    <w:rsid w:val="007422FE"/>
    <w:rsid w:val="00742383"/>
    <w:rsid w:val="00742E7E"/>
    <w:rsid w:val="007439BC"/>
    <w:rsid w:val="00743A8D"/>
    <w:rsid w:val="0074409F"/>
    <w:rsid w:val="00744716"/>
    <w:rsid w:val="00744953"/>
    <w:rsid w:val="00744C63"/>
    <w:rsid w:val="00744DC7"/>
    <w:rsid w:val="007453A8"/>
    <w:rsid w:val="007455E6"/>
    <w:rsid w:val="00745949"/>
    <w:rsid w:val="00745FF6"/>
    <w:rsid w:val="00746A50"/>
    <w:rsid w:val="0074714B"/>
    <w:rsid w:val="00747272"/>
    <w:rsid w:val="00747C88"/>
    <w:rsid w:val="00747EA9"/>
    <w:rsid w:val="0075000E"/>
    <w:rsid w:val="007500E9"/>
    <w:rsid w:val="00751593"/>
    <w:rsid w:val="00751B36"/>
    <w:rsid w:val="00751D66"/>
    <w:rsid w:val="00751E18"/>
    <w:rsid w:val="00752A28"/>
    <w:rsid w:val="00752C47"/>
    <w:rsid w:val="00753749"/>
    <w:rsid w:val="007538D0"/>
    <w:rsid w:val="00753BA8"/>
    <w:rsid w:val="00753BBF"/>
    <w:rsid w:val="00753F38"/>
    <w:rsid w:val="00754054"/>
    <w:rsid w:val="007545D9"/>
    <w:rsid w:val="0075486D"/>
    <w:rsid w:val="0075488F"/>
    <w:rsid w:val="00754D2B"/>
    <w:rsid w:val="00754D95"/>
    <w:rsid w:val="00754E7E"/>
    <w:rsid w:val="00755326"/>
    <w:rsid w:val="007553A9"/>
    <w:rsid w:val="0075557B"/>
    <w:rsid w:val="007557CE"/>
    <w:rsid w:val="00755908"/>
    <w:rsid w:val="007559CC"/>
    <w:rsid w:val="00755ACF"/>
    <w:rsid w:val="00755FFE"/>
    <w:rsid w:val="00756392"/>
    <w:rsid w:val="007569F6"/>
    <w:rsid w:val="00756EDB"/>
    <w:rsid w:val="00757451"/>
    <w:rsid w:val="00757817"/>
    <w:rsid w:val="00757883"/>
    <w:rsid w:val="00757B73"/>
    <w:rsid w:val="007604C8"/>
    <w:rsid w:val="007604F0"/>
    <w:rsid w:val="0076121A"/>
    <w:rsid w:val="0076148F"/>
    <w:rsid w:val="00761B5E"/>
    <w:rsid w:val="00762353"/>
    <w:rsid w:val="00762AED"/>
    <w:rsid w:val="007632F9"/>
    <w:rsid w:val="00763765"/>
    <w:rsid w:val="007638FB"/>
    <w:rsid w:val="0076395C"/>
    <w:rsid w:val="00763DA7"/>
    <w:rsid w:val="00764028"/>
    <w:rsid w:val="00764587"/>
    <w:rsid w:val="00764A0A"/>
    <w:rsid w:val="00764B75"/>
    <w:rsid w:val="00764ED2"/>
    <w:rsid w:val="0076531A"/>
    <w:rsid w:val="00765D64"/>
    <w:rsid w:val="0076620F"/>
    <w:rsid w:val="00766D5E"/>
    <w:rsid w:val="00766DE2"/>
    <w:rsid w:val="00766DF4"/>
    <w:rsid w:val="00766EC1"/>
    <w:rsid w:val="0076778B"/>
    <w:rsid w:val="00767C9D"/>
    <w:rsid w:val="00767F6A"/>
    <w:rsid w:val="00767F81"/>
    <w:rsid w:val="0077005A"/>
    <w:rsid w:val="007705A6"/>
    <w:rsid w:val="0077107D"/>
    <w:rsid w:val="0077193C"/>
    <w:rsid w:val="00771DB0"/>
    <w:rsid w:val="0077226B"/>
    <w:rsid w:val="007729D3"/>
    <w:rsid w:val="00772A5A"/>
    <w:rsid w:val="007733EC"/>
    <w:rsid w:val="00774FB3"/>
    <w:rsid w:val="0077535B"/>
    <w:rsid w:val="00775717"/>
    <w:rsid w:val="007764B7"/>
    <w:rsid w:val="007766E1"/>
    <w:rsid w:val="007768F5"/>
    <w:rsid w:val="0077698F"/>
    <w:rsid w:val="00776A8A"/>
    <w:rsid w:val="00776E3A"/>
    <w:rsid w:val="0077707C"/>
    <w:rsid w:val="00777B50"/>
    <w:rsid w:val="0078003E"/>
    <w:rsid w:val="0078089D"/>
    <w:rsid w:val="00780B67"/>
    <w:rsid w:val="007812E2"/>
    <w:rsid w:val="007813FB"/>
    <w:rsid w:val="00781BA4"/>
    <w:rsid w:val="00781D70"/>
    <w:rsid w:val="00781DEF"/>
    <w:rsid w:val="00781E82"/>
    <w:rsid w:val="0078206E"/>
    <w:rsid w:val="007823C7"/>
    <w:rsid w:val="00782C9C"/>
    <w:rsid w:val="007831AB"/>
    <w:rsid w:val="0078324D"/>
    <w:rsid w:val="00783424"/>
    <w:rsid w:val="007834AF"/>
    <w:rsid w:val="007834DB"/>
    <w:rsid w:val="0078386F"/>
    <w:rsid w:val="0078404E"/>
    <w:rsid w:val="0078425C"/>
    <w:rsid w:val="007843BC"/>
    <w:rsid w:val="0078449F"/>
    <w:rsid w:val="007846F5"/>
    <w:rsid w:val="00784A5E"/>
    <w:rsid w:val="00784D87"/>
    <w:rsid w:val="0078500D"/>
    <w:rsid w:val="007855B8"/>
    <w:rsid w:val="00785654"/>
    <w:rsid w:val="007857AD"/>
    <w:rsid w:val="00785DFD"/>
    <w:rsid w:val="007869A9"/>
    <w:rsid w:val="00786CAA"/>
    <w:rsid w:val="00787014"/>
    <w:rsid w:val="0078710C"/>
    <w:rsid w:val="007871EF"/>
    <w:rsid w:val="0078735A"/>
    <w:rsid w:val="00787579"/>
    <w:rsid w:val="0078792B"/>
    <w:rsid w:val="00787957"/>
    <w:rsid w:val="00787981"/>
    <w:rsid w:val="00787DDC"/>
    <w:rsid w:val="00787E7F"/>
    <w:rsid w:val="00787F56"/>
    <w:rsid w:val="0079073F"/>
    <w:rsid w:val="0079095C"/>
    <w:rsid w:val="007909C5"/>
    <w:rsid w:val="00791579"/>
    <w:rsid w:val="007919BD"/>
    <w:rsid w:val="00791BC6"/>
    <w:rsid w:val="00791E1A"/>
    <w:rsid w:val="00791E1D"/>
    <w:rsid w:val="00791ED8"/>
    <w:rsid w:val="00791F4E"/>
    <w:rsid w:val="007922D7"/>
    <w:rsid w:val="00792508"/>
    <w:rsid w:val="007926F9"/>
    <w:rsid w:val="00792A35"/>
    <w:rsid w:val="0079345C"/>
    <w:rsid w:val="00793944"/>
    <w:rsid w:val="00793F93"/>
    <w:rsid w:val="00794389"/>
    <w:rsid w:val="00794F90"/>
    <w:rsid w:val="00794F98"/>
    <w:rsid w:val="007950E3"/>
    <w:rsid w:val="00795110"/>
    <w:rsid w:val="00795168"/>
    <w:rsid w:val="007952F2"/>
    <w:rsid w:val="00795C4D"/>
    <w:rsid w:val="00795D55"/>
    <w:rsid w:val="00796157"/>
    <w:rsid w:val="00796342"/>
    <w:rsid w:val="007964B1"/>
    <w:rsid w:val="00796B44"/>
    <w:rsid w:val="007A0040"/>
    <w:rsid w:val="007A00A6"/>
    <w:rsid w:val="007A0B76"/>
    <w:rsid w:val="007A0F2B"/>
    <w:rsid w:val="007A15B3"/>
    <w:rsid w:val="007A1918"/>
    <w:rsid w:val="007A1EB1"/>
    <w:rsid w:val="007A247D"/>
    <w:rsid w:val="007A250C"/>
    <w:rsid w:val="007A2FE5"/>
    <w:rsid w:val="007A315C"/>
    <w:rsid w:val="007A35BF"/>
    <w:rsid w:val="007A3B71"/>
    <w:rsid w:val="007A45C0"/>
    <w:rsid w:val="007A4C5A"/>
    <w:rsid w:val="007A4EE9"/>
    <w:rsid w:val="007A4FA4"/>
    <w:rsid w:val="007A530D"/>
    <w:rsid w:val="007A536B"/>
    <w:rsid w:val="007A590F"/>
    <w:rsid w:val="007A5FE2"/>
    <w:rsid w:val="007A622B"/>
    <w:rsid w:val="007A6312"/>
    <w:rsid w:val="007A63F6"/>
    <w:rsid w:val="007A6506"/>
    <w:rsid w:val="007A652F"/>
    <w:rsid w:val="007A6D8B"/>
    <w:rsid w:val="007A716B"/>
    <w:rsid w:val="007A76DF"/>
    <w:rsid w:val="007A76FE"/>
    <w:rsid w:val="007A7DB4"/>
    <w:rsid w:val="007A7F6B"/>
    <w:rsid w:val="007B01BF"/>
    <w:rsid w:val="007B0330"/>
    <w:rsid w:val="007B046A"/>
    <w:rsid w:val="007B061B"/>
    <w:rsid w:val="007B0A9F"/>
    <w:rsid w:val="007B0CAE"/>
    <w:rsid w:val="007B0EC4"/>
    <w:rsid w:val="007B1858"/>
    <w:rsid w:val="007B18F8"/>
    <w:rsid w:val="007B1AD4"/>
    <w:rsid w:val="007B1DBB"/>
    <w:rsid w:val="007B1DCE"/>
    <w:rsid w:val="007B24CE"/>
    <w:rsid w:val="007B279A"/>
    <w:rsid w:val="007B30D4"/>
    <w:rsid w:val="007B3825"/>
    <w:rsid w:val="007B3C6C"/>
    <w:rsid w:val="007B47CB"/>
    <w:rsid w:val="007B47EA"/>
    <w:rsid w:val="007B4D1B"/>
    <w:rsid w:val="007B4DC9"/>
    <w:rsid w:val="007B539D"/>
    <w:rsid w:val="007B53F6"/>
    <w:rsid w:val="007B55FC"/>
    <w:rsid w:val="007B5810"/>
    <w:rsid w:val="007B585E"/>
    <w:rsid w:val="007B59F0"/>
    <w:rsid w:val="007B59F4"/>
    <w:rsid w:val="007B5A34"/>
    <w:rsid w:val="007B5B09"/>
    <w:rsid w:val="007B6AF9"/>
    <w:rsid w:val="007B6FD7"/>
    <w:rsid w:val="007C02E6"/>
    <w:rsid w:val="007C0334"/>
    <w:rsid w:val="007C07B8"/>
    <w:rsid w:val="007C0851"/>
    <w:rsid w:val="007C12D2"/>
    <w:rsid w:val="007C133F"/>
    <w:rsid w:val="007C1C82"/>
    <w:rsid w:val="007C1F9B"/>
    <w:rsid w:val="007C216F"/>
    <w:rsid w:val="007C2E5C"/>
    <w:rsid w:val="007C31D0"/>
    <w:rsid w:val="007C323E"/>
    <w:rsid w:val="007C3667"/>
    <w:rsid w:val="007C3950"/>
    <w:rsid w:val="007C406C"/>
    <w:rsid w:val="007C4079"/>
    <w:rsid w:val="007C42CB"/>
    <w:rsid w:val="007C450F"/>
    <w:rsid w:val="007C469C"/>
    <w:rsid w:val="007C4758"/>
    <w:rsid w:val="007C4A5C"/>
    <w:rsid w:val="007C4C59"/>
    <w:rsid w:val="007C4FC3"/>
    <w:rsid w:val="007C542A"/>
    <w:rsid w:val="007C54BF"/>
    <w:rsid w:val="007C58B6"/>
    <w:rsid w:val="007C5DE0"/>
    <w:rsid w:val="007C6AC0"/>
    <w:rsid w:val="007C752B"/>
    <w:rsid w:val="007C7AFD"/>
    <w:rsid w:val="007D026B"/>
    <w:rsid w:val="007D05B9"/>
    <w:rsid w:val="007D0D52"/>
    <w:rsid w:val="007D12CD"/>
    <w:rsid w:val="007D13DC"/>
    <w:rsid w:val="007D13EB"/>
    <w:rsid w:val="007D2099"/>
    <w:rsid w:val="007D2177"/>
    <w:rsid w:val="007D230D"/>
    <w:rsid w:val="007D2935"/>
    <w:rsid w:val="007D2B5D"/>
    <w:rsid w:val="007D2F16"/>
    <w:rsid w:val="007D37FF"/>
    <w:rsid w:val="007D42C2"/>
    <w:rsid w:val="007D5A12"/>
    <w:rsid w:val="007D600F"/>
    <w:rsid w:val="007D6550"/>
    <w:rsid w:val="007D6946"/>
    <w:rsid w:val="007D6BC7"/>
    <w:rsid w:val="007D70A1"/>
    <w:rsid w:val="007D76C7"/>
    <w:rsid w:val="007D7AD5"/>
    <w:rsid w:val="007D7CEF"/>
    <w:rsid w:val="007E0504"/>
    <w:rsid w:val="007E0D7A"/>
    <w:rsid w:val="007E1076"/>
    <w:rsid w:val="007E1452"/>
    <w:rsid w:val="007E1AB6"/>
    <w:rsid w:val="007E202A"/>
    <w:rsid w:val="007E20FE"/>
    <w:rsid w:val="007E2FE1"/>
    <w:rsid w:val="007E36D1"/>
    <w:rsid w:val="007E4057"/>
    <w:rsid w:val="007E42B9"/>
    <w:rsid w:val="007E49E4"/>
    <w:rsid w:val="007E4AA1"/>
    <w:rsid w:val="007E516A"/>
    <w:rsid w:val="007E566A"/>
    <w:rsid w:val="007E570A"/>
    <w:rsid w:val="007E679E"/>
    <w:rsid w:val="007E695E"/>
    <w:rsid w:val="007E6AC5"/>
    <w:rsid w:val="007E745F"/>
    <w:rsid w:val="007E78C0"/>
    <w:rsid w:val="007E7B63"/>
    <w:rsid w:val="007F0053"/>
    <w:rsid w:val="007F00B3"/>
    <w:rsid w:val="007F087D"/>
    <w:rsid w:val="007F0A77"/>
    <w:rsid w:val="007F0C6C"/>
    <w:rsid w:val="007F0CA0"/>
    <w:rsid w:val="007F0DD0"/>
    <w:rsid w:val="007F1783"/>
    <w:rsid w:val="007F1D70"/>
    <w:rsid w:val="007F1FD5"/>
    <w:rsid w:val="007F28A0"/>
    <w:rsid w:val="007F2BF1"/>
    <w:rsid w:val="007F32F0"/>
    <w:rsid w:val="007F36A2"/>
    <w:rsid w:val="007F36EA"/>
    <w:rsid w:val="007F37C6"/>
    <w:rsid w:val="007F3B17"/>
    <w:rsid w:val="007F5171"/>
    <w:rsid w:val="007F5192"/>
    <w:rsid w:val="007F5309"/>
    <w:rsid w:val="007F5DEE"/>
    <w:rsid w:val="007F5F4D"/>
    <w:rsid w:val="007F6027"/>
    <w:rsid w:val="007F602B"/>
    <w:rsid w:val="007F6223"/>
    <w:rsid w:val="007F64A1"/>
    <w:rsid w:val="007F6520"/>
    <w:rsid w:val="007F652D"/>
    <w:rsid w:val="007F6675"/>
    <w:rsid w:val="007F6EE5"/>
    <w:rsid w:val="007F7115"/>
    <w:rsid w:val="007F7C86"/>
    <w:rsid w:val="007F7FB6"/>
    <w:rsid w:val="008001B8"/>
    <w:rsid w:val="00800F42"/>
    <w:rsid w:val="00801863"/>
    <w:rsid w:val="00801F8E"/>
    <w:rsid w:val="00801F9C"/>
    <w:rsid w:val="00801FF1"/>
    <w:rsid w:val="0080225F"/>
    <w:rsid w:val="00802715"/>
    <w:rsid w:val="008029B4"/>
    <w:rsid w:val="00802D7C"/>
    <w:rsid w:val="00802F31"/>
    <w:rsid w:val="008030BA"/>
    <w:rsid w:val="008035E6"/>
    <w:rsid w:val="00803F17"/>
    <w:rsid w:val="008041C4"/>
    <w:rsid w:val="0080451B"/>
    <w:rsid w:val="00805233"/>
    <w:rsid w:val="00805420"/>
    <w:rsid w:val="008054D4"/>
    <w:rsid w:val="008057D1"/>
    <w:rsid w:val="008057FE"/>
    <w:rsid w:val="008058C6"/>
    <w:rsid w:val="00805C93"/>
    <w:rsid w:val="00805E33"/>
    <w:rsid w:val="0080644D"/>
    <w:rsid w:val="00806E2D"/>
    <w:rsid w:val="0080734E"/>
    <w:rsid w:val="008077FB"/>
    <w:rsid w:val="0080796A"/>
    <w:rsid w:val="00807B55"/>
    <w:rsid w:val="00807F73"/>
    <w:rsid w:val="008109FA"/>
    <w:rsid w:val="00810B4F"/>
    <w:rsid w:val="00810BA3"/>
    <w:rsid w:val="00810F51"/>
    <w:rsid w:val="00811DAA"/>
    <w:rsid w:val="00811EDE"/>
    <w:rsid w:val="00811FCD"/>
    <w:rsid w:val="0081227B"/>
    <w:rsid w:val="008127DF"/>
    <w:rsid w:val="00813020"/>
    <w:rsid w:val="008142CD"/>
    <w:rsid w:val="00814856"/>
    <w:rsid w:val="00814898"/>
    <w:rsid w:val="00814CC9"/>
    <w:rsid w:val="00814D69"/>
    <w:rsid w:val="00814D86"/>
    <w:rsid w:val="0081522D"/>
    <w:rsid w:val="00815352"/>
    <w:rsid w:val="00816042"/>
    <w:rsid w:val="0081648E"/>
    <w:rsid w:val="008179D2"/>
    <w:rsid w:val="00817A62"/>
    <w:rsid w:val="008204E9"/>
    <w:rsid w:val="00820AFB"/>
    <w:rsid w:val="00820E34"/>
    <w:rsid w:val="00820EBC"/>
    <w:rsid w:val="0082126C"/>
    <w:rsid w:val="0082135C"/>
    <w:rsid w:val="00821740"/>
    <w:rsid w:val="00821B45"/>
    <w:rsid w:val="00821B85"/>
    <w:rsid w:val="008227D9"/>
    <w:rsid w:val="00822AAF"/>
    <w:rsid w:val="00822F52"/>
    <w:rsid w:val="0082317E"/>
    <w:rsid w:val="0082323B"/>
    <w:rsid w:val="008234D7"/>
    <w:rsid w:val="008235E3"/>
    <w:rsid w:val="00823C20"/>
    <w:rsid w:val="00823D26"/>
    <w:rsid w:val="00824315"/>
    <w:rsid w:val="008247C0"/>
    <w:rsid w:val="00824B06"/>
    <w:rsid w:val="00824E51"/>
    <w:rsid w:val="00824F37"/>
    <w:rsid w:val="008253A9"/>
    <w:rsid w:val="008256C8"/>
    <w:rsid w:val="008258FF"/>
    <w:rsid w:val="00826634"/>
    <w:rsid w:val="008267A2"/>
    <w:rsid w:val="00826C89"/>
    <w:rsid w:val="0082704C"/>
    <w:rsid w:val="008273AA"/>
    <w:rsid w:val="00827501"/>
    <w:rsid w:val="008277E0"/>
    <w:rsid w:val="00827EB0"/>
    <w:rsid w:val="008301C6"/>
    <w:rsid w:val="008301DC"/>
    <w:rsid w:val="0083023A"/>
    <w:rsid w:val="008304DA"/>
    <w:rsid w:val="008305AC"/>
    <w:rsid w:val="00830832"/>
    <w:rsid w:val="008309AC"/>
    <w:rsid w:val="00830B81"/>
    <w:rsid w:val="00830D03"/>
    <w:rsid w:val="008317D5"/>
    <w:rsid w:val="008319AF"/>
    <w:rsid w:val="00831F25"/>
    <w:rsid w:val="008323FC"/>
    <w:rsid w:val="008325DC"/>
    <w:rsid w:val="0083280D"/>
    <w:rsid w:val="00832B8F"/>
    <w:rsid w:val="00832F4B"/>
    <w:rsid w:val="0083460C"/>
    <w:rsid w:val="00834E9C"/>
    <w:rsid w:val="0083522A"/>
    <w:rsid w:val="008359D9"/>
    <w:rsid w:val="00835CA4"/>
    <w:rsid w:val="00835F74"/>
    <w:rsid w:val="00835FA9"/>
    <w:rsid w:val="00835FFC"/>
    <w:rsid w:val="008360C6"/>
    <w:rsid w:val="008368DE"/>
    <w:rsid w:val="0083699A"/>
    <w:rsid w:val="00836DCF"/>
    <w:rsid w:val="00836ECA"/>
    <w:rsid w:val="0083703C"/>
    <w:rsid w:val="00837046"/>
    <w:rsid w:val="0083734A"/>
    <w:rsid w:val="008375B2"/>
    <w:rsid w:val="008377A8"/>
    <w:rsid w:val="00837B9B"/>
    <w:rsid w:val="00837E5F"/>
    <w:rsid w:val="00837EAE"/>
    <w:rsid w:val="00840406"/>
    <w:rsid w:val="00840A43"/>
    <w:rsid w:val="008413F5"/>
    <w:rsid w:val="00841446"/>
    <w:rsid w:val="008414CB"/>
    <w:rsid w:val="008415A0"/>
    <w:rsid w:val="008429F6"/>
    <w:rsid w:val="00842E8B"/>
    <w:rsid w:val="008432D6"/>
    <w:rsid w:val="00843857"/>
    <w:rsid w:val="00843910"/>
    <w:rsid w:val="00843920"/>
    <w:rsid w:val="00843A48"/>
    <w:rsid w:val="00844A04"/>
    <w:rsid w:val="00845481"/>
    <w:rsid w:val="0084562B"/>
    <w:rsid w:val="00845676"/>
    <w:rsid w:val="00845856"/>
    <w:rsid w:val="0084585B"/>
    <w:rsid w:val="00845968"/>
    <w:rsid w:val="008469CF"/>
    <w:rsid w:val="00846C4F"/>
    <w:rsid w:val="0084746A"/>
    <w:rsid w:val="008477B2"/>
    <w:rsid w:val="00847945"/>
    <w:rsid w:val="00847C3C"/>
    <w:rsid w:val="00847F47"/>
    <w:rsid w:val="008507A6"/>
    <w:rsid w:val="00850B7A"/>
    <w:rsid w:val="00851EEB"/>
    <w:rsid w:val="00852144"/>
    <w:rsid w:val="00852660"/>
    <w:rsid w:val="008527EF"/>
    <w:rsid w:val="00852836"/>
    <w:rsid w:val="00852897"/>
    <w:rsid w:val="008530DE"/>
    <w:rsid w:val="008534EF"/>
    <w:rsid w:val="00853E22"/>
    <w:rsid w:val="00853EA6"/>
    <w:rsid w:val="00853EF4"/>
    <w:rsid w:val="00854253"/>
    <w:rsid w:val="00854608"/>
    <w:rsid w:val="00854771"/>
    <w:rsid w:val="008547A5"/>
    <w:rsid w:val="008548F9"/>
    <w:rsid w:val="00854E5D"/>
    <w:rsid w:val="0085544E"/>
    <w:rsid w:val="0085574B"/>
    <w:rsid w:val="00856094"/>
    <w:rsid w:val="00856466"/>
    <w:rsid w:val="008564D6"/>
    <w:rsid w:val="00856CD0"/>
    <w:rsid w:val="00856D30"/>
    <w:rsid w:val="00857401"/>
    <w:rsid w:val="0086018A"/>
    <w:rsid w:val="00860562"/>
    <w:rsid w:val="0086092B"/>
    <w:rsid w:val="00860EE4"/>
    <w:rsid w:val="00860F5C"/>
    <w:rsid w:val="008611A9"/>
    <w:rsid w:val="00861251"/>
    <w:rsid w:val="0086131F"/>
    <w:rsid w:val="008614D1"/>
    <w:rsid w:val="00861AD1"/>
    <w:rsid w:val="00861EDA"/>
    <w:rsid w:val="0086271F"/>
    <w:rsid w:val="0086310D"/>
    <w:rsid w:val="008632DE"/>
    <w:rsid w:val="008633E4"/>
    <w:rsid w:val="008634EE"/>
    <w:rsid w:val="00863630"/>
    <w:rsid w:val="00863D03"/>
    <w:rsid w:val="008643C6"/>
    <w:rsid w:val="00864E99"/>
    <w:rsid w:val="008657C7"/>
    <w:rsid w:val="008667C1"/>
    <w:rsid w:val="00866B76"/>
    <w:rsid w:val="00866D7A"/>
    <w:rsid w:val="00866EEA"/>
    <w:rsid w:val="008674C2"/>
    <w:rsid w:val="00867628"/>
    <w:rsid w:val="0086762F"/>
    <w:rsid w:val="008679BA"/>
    <w:rsid w:val="00867D93"/>
    <w:rsid w:val="00867DEC"/>
    <w:rsid w:val="00870222"/>
    <w:rsid w:val="00870460"/>
    <w:rsid w:val="008705C9"/>
    <w:rsid w:val="00870C84"/>
    <w:rsid w:val="00870EB6"/>
    <w:rsid w:val="00872284"/>
    <w:rsid w:val="0087263E"/>
    <w:rsid w:val="0087278D"/>
    <w:rsid w:val="00872B04"/>
    <w:rsid w:val="00872B50"/>
    <w:rsid w:val="0087338A"/>
    <w:rsid w:val="0087372F"/>
    <w:rsid w:val="00874129"/>
    <w:rsid w:val="008742FC"/>
    <w:rsid w:val="008744D3"/>
    <w:rsid w:val="008751D6"/>
    <w:rsid w:val="00875C09"/>
    <w:rsid w:val="00875C12"/>
    <w:rsid w:val="00875F81"/>
    <w:rsid w:val="00876330"/>
    <w:rsid w:val="00877070"/>
    <w:rsid w:val="008773CB"/>
    <w:rsid w:val="00877B92"/>
    <w:rsid w:val="00877C53"/>
    <w:rsid w:val="0088015D"/>
    <w:rsid w:val="008807C1"/>
    <w:rsid w:val="008808FD"/>
    <w:rsid w:val="0088098F"/>
    <w:rsid w:val="00880F66"/>
    <w:rsid w:val="00881472"/>
    <w:rsid w:val="0088163B"/>
    <w:rsid w:val="00881ED9"/>
    <w:rsid w:val="00881F31"/>
    <w:rsid w:val="00882312"/>
    <w:rsid w:val="00882BB1"/>
    <w:rsid w:val="008835ED"/>
    <w:rsid w:val="008835EE"/>
    <w:rsid w:val="008839CD"/>
    <w:rsid w:val="008840F9"/>
    <w:rsid w:val="008844AA"/>
    <w:rsid w:val="00884840"/>
    <w:rsid w:val="00884B8D"/>
    <w:rsid w:val="00884FCA"/>
    <w:rsid w:val="0088520E"/>
    <w:rsid w:val="0088545C"/>
    <w:rsid w:val="00885D45"/>
    <w:rsid w:val="00885DD3"/>
    <w:rsid w:val="00885FE4"/>
    <w:rsid w:val="00886595"/>
    <w:rsid w:val="0088668F"/>
    <w:rsid w:val="008867CC"/>
    <w:rsid w:val="008871C3"/>
    <w:rsid w:val="00887981"/>
    <w:rsid w:val="008900E3"/>
    <w:rsid w:val="00890ECE"/>
    <w:rsid w:val="00891084"/>
    <w:rsid w:val="00891729"/>
    <w:rsid w:val="0089184A"/>
    <w:rsid w:val="00891A07"/>
    <w:rsid w:val="00891BB9"/>
    <w:rsid w:val="00891E06"/>
    <w:rsid w:val="00892078"/>
    <w:rsid w:val="00892584"/>
    <w:rsid w:val="008925DD"/>
    <w:rsid w:val="008927F9"/>
    <w:rsid w:val="00892B8E"/>
    <w:rsid w:val="00892BA6"/>
    <w:rsid w:val="00893615"/>
    <w:rsid w:val="00893642"/>
    <w:rsid w:val="00893873"/>
    <w:rsid w:val="0089396C"/>
    <w:rsid w:val="00893CB8"/>
    <w:rsid w:val="008943FD"/>
    <w:rsid w:val="008944D2"/>
    <w:rsid w:val="00894DA3"/>
    <w:rsid w:val="008952EE"/>
    <w:rsid w:val="008955A4"/>
    <w:rsid w:val="00895917"/>
    <w:rsid w:val="00895BDD"/>
    <w:rsid w:val="00895D37"/>
    <w:rsid w:val="00895E09"/>
    <w:rsid w:val="0089719A"/>
    <w:rsid w:val="00897240"/>
    <w:rsid w:val="00897423"/>
    <w:rsid w:val="0089743F"/>
    <w:rsid w:val="0089747E"/>
    <w:rsid w:val="008975A2"/>
    <w:rsid w:val="008976F5"/>
    <w:rsid w:val="00897C6D"/>
    <w:rsid w:val="008A0688"/>
    <w:rsid w:val="008A0F07"/>
    <w:rsid w:val="008A118A"/>
    <w:rsid w:val="008A12E6"/>
    <w:rsid w:val="008A147D"/>
    <w:rsid w:val="008A1542"/>
    <w:rsid w:val="008A176B"/>
    <w:rsid w:val="008A19AC"/>
    <w:rsid w:val="008A1A73"/>
    <w:rsid w:val="008A1FF7"/>
    <w:rsid w:val="008A241B"/>
    <w:rsid w:val="008A24A9"/>
    <w:rsid w:val="008A26F3"/>
    <w:rsid w:val="008A2B32"/>
    <w:rsid w:val="008A2EBA"/>
    <w:rsid w:val="008A3299"/>
    <w:rsid w:val="008A387D"/>
    <w:rsid w:val="008A38C5"/>
    <w:rsid w:val="008A3BB2"/>
    <w:rsid w:val="008A3C19"/>
    <w:rsid w:val="008A43B0"/>
    <w:rsid w:val="008A463D"/>
    <w:rsid w:val="008A4F47"/>
    <w:rsid w:val="008A5024"/>
    <w:rsid w:val="008A50AE"/>
    <w:rsid w:val="008A51EB"/>
    <w:rsid w:val="008A5C88"/>
    <w:rsid w:val="008A5FFB"/>
    <w:rsid w:val="008A63A5"/>
    <w:rsid w:val="008A63DC"/>
    <w:rsid w:val="008A660A"/>
    <w:rsid w:val="008A672A"/>
    <w:rsid w:val="008A67F1"/>
    <w:rsid w:val="008A70F5"/>
    <w:rsid w:val="008A79EF"/>
    <w:rsid w:val="008A7B0E"/>
    <w:rsid w:val="008A7B55"/>
    <w:rsid w:val="008B056D"/>
    <w:rsid w:val="008B0A92"/>
    <w:rsid w:val="008B11F8"/>
    <w:rsid w:val="008B1606"/>
    <w:rsid w:val="008B1C2A"/>
    <w:rsid w:val="008B21F7"/>
    <w:rsid w:val="008B227E"/>
    <w:rsid w:val="008B23B8"/>
    <w:rsid w:val="008B27C5"/>
    <w:rsid w:val="008B2B27"/>
    <w:rsid w:val="008B2B79"/>
    <w:rsid w:val="008B3226"/>
    <w:rsid w:val="008B3255"/>
    <w:rsid w:val="008B36B3"/>
    <w:rsid w:val="008B3ACB"/>
    <w:rsid w:val="008B3C66"/>
    <w:rsid w:val="008B3CF5"/>
    <w:rsid w:val="008B4297"/>
    <w:rsid w:val="008B51F9"/>
    <w:rsid w:val="008B5A5E"/>
    <w:rsid w:val="008B63DB"/>
    <w:rsid w:val="008B6610"/>
    <w:rsid w:val="008B73FC"/>
    <w:rsid w:val="008B76DB"/>
    <w:rsid w:val="008B7D52"/>
    <w:rsid w:val="008C026C"/>
    <w:rsid w:val="008C0550"/>
    <w:rsid w:val="008C0828"/>
    <w:rsid w:val="008C0D09"/>
    <w:rsid w:val="008C11C0"/>
    <w:rsid w:val="008C17F9"/>
    <w:rsid w:val="008C2037"/>
    <w:rsid w:val="008C2B82"/>
    <w:rsid w:val="008C2FFB"/>
    <w:rsid w:val="008C30F4"/>
    <w:rsid w:val="008C37D8"/>
    <w:rsid w:val="008C3B54"/>
    <w:rsid w:val="008C3C0B"/>
    <w:rsid w:val="008C3CE1"/>
    <w:rsid w:val="008C3E35"/>
    <w:rsid w:val="008C460B"/>
    <w:rsid w:val="008C468F"/>
    <w:rsid w:val="008C4830"/>
    <w:rsid w:val="008C48AD"/>
    <w:rsid w:val="008C4B8F"/>
    <w:rsid w:val="008C4C2C"/>
    <w:rsid w:val="008C4E2D"/>
    <w:rsid w:val="008C5362"/>
    <w:rsid w:val="008C53D7"/>
    <w:rsid w:val="008C54ED"/>
    <w:rsid w:val="008C594B"/>
    <w:rsid w:val="008C656B"/>
    <w:rsid w:val="008C668D"/>
    <w:rsid w:val="008C6AF5"/>
    <w:rsid w:val="008C6E1F"/>
    <w:rsid w:val="008C73E4"/>
    <w:rsid w:val="008C74AA"/>
    <w:rsid w:val="008D0576"/>
    <w:rsid w:val="008D0E62"/>
    <w:rsid w:val="008D1168"/>
    <w:rsid w:val="008D159C"/>
    <w:rsid w:val="008D15A8"/>
    <w:rsid w:val="008D1602"/>
    <w:rsid w:val="008D1785"/>
    <w:rsid w:val="008D1E66"/>
    <w:rsid w:val="008D1EBD"/>
    <w:rsid w:val="008D2276"/>
    <w:rsid w:val="008D22A6"/>
    <w:rsid w:val="008D235C"/>
    <w:rsid w:val="008D263B"/>
    <w:rsid w:val="008D2C4E"/>
    <w:rsid w:val="008D2E64"/>
    <w:rsid w:val="008D2FB9"/>
    <w:rsid w:val="008D3B0D"/>
    <w:rsid w:val="008D4C15"/>
    <w:rsid w:val="008D4C4D"/>
    <w:rsid w:val="008D5116"/>
    <w:rsid w:val="008D51D6"/>
    <w:rsid w:val="008D56F0"/>
    <w:rsid w:val="008D5A42"/>
    <w:rsid w:val="008D5F99"/>
    <w:rsid w:val="008D6AAB"/>
    <w:rsid w:val="008D7EBA"/>
    <w:rsid w:val="008E09F3"/>
    <w:rsid w:val="008E0AA1"/>
    <w:rsid w:val="008E0CD4"/>
    <w:rsid w:val="008E1618"/>
    <w:rsid w:val="008E23CC"/>
    <w:rsid w:val="008E253B"/>
    <w:rsid w:val="008E2568"/>
    <w:rsid w:val="008E2A73"/>
    <w:rsid w:val="008E2F3F"/>
    <w:rsid w:val="008E30E3"/>
    <w:rsid w:val="008E3145"/>
    <w:rsid w:val="008E38E7"/>
    <w:rsid w:val="008E3B06"/>
    <w:rsid w:val="008E3B9A"/>
    <w:rsid w:val="008E3C8E"/>
    <w:rsid w:val="008E3ED2"/>
    <w:rsid w:val="008E42A3"/>
    <w:rsid w:val="008E4A51"/>
    <w:rsid w:val="008E514E"/>
    <w:rsid w:val="008E5886"/>
    <w:rsid w:val="008E59C3"/>
    <w:rsid w:val="008E59F6"/>
    <w:rsid w:val="008E5D2C"/>
    <w:rsid w:val="008E5F46"/>
    <w:rsid w:val="008E5F59"/>
    <w:rsid w:val="008E5F62"/>
    <w:rsid w:val="008E62B4"/>
    <w:rsid w:val="008E6751"/>
    <w:rsid w:val="008E6A35"/>
    <w:rsid w:val="008E6BB9"/>
    <w:rsid w:val="008E6BCB"/>
    <w:rsid w:val="008E6BE7"/>
    <w:rsid w:val="008E6F38"/>
    <w:rsid w:val="008E6FA9"/>
    <w:rsid w:val="008E7D96"/>
    <w:rsid w:val="008F015E"/>
    <w:rsid w:val="008F01EF"/>
    <w:rsid w:val="008F02CA"/>
    <w:rsid w:val="008F02D2"/>
    <w:rsid w:val="008F03CA"/>
    <w:rsid w:val="008F03F1"/>
    <w:rsid w:val="008F0611"/>
    <w:rsid w:val="008F087B"/>
    <w:rsid w:val="008F0B18"/>
    <w:rsid w:val="008F10E3"/>
    <w:rsid w:val="008F11D2"/>
    <w:rsid w:val="008F16CD"/>
    <w:rsid w:val="008F21E2"/>
    <w:rsid w:val="008F2389"/>
    <w:rsid w:val="008F2B03"/>
    <w:rsid w:val="008F2C02"/>
    <w:rsid w:val="008F2D77"/>
    <w:rsid w:val="008F34C7"/>
    <w:rsid w:val="008F36F2"/>
    <w:rsid w:val="008F41E4"/>
    <w:rsid w:val="008F4338"/>
    <w:rsid w:val="008F4680"/>
    <w:rsid w:val="008F4A03"/>
    <w:rsid w:val="008F5521"/>
    <w:rsid w:val="008F5F65"/>
    <w:rsid w:val="008F6022"/>
    <w:rsid w:val="008F66D1"/>
    <w:rsid w:val="008F6798"/>
    <w:rsid w:val="008F67B8"/>
    <w:rsid w:val="008F6931"/>
    <w:rsid w:val="008F6A44"/>
    <w:rsid w:val="008F6B9F"/>
    <w:rsid w:val="008F6BFC"/>
    <w:rsid w:val="008F6E2F"/>
    <w:rsid w:val="008F72E0"/>
    <w:rsid w:val="008F78A9"/>
    <w:rsid w:val="009000F5"/>
    <w:rsid w:val="0090016B"/>
    <w:rsid w:val="00900D42"/>
    <w:rsid w:val="00901601"/>
    <w:rsid w:val="00901DEF"/>
    <w:rsid w:val="009022F3"/>
    <w:rsid w:val="00902370"/>
    <w:rsid w:val="009026FD"/>
    <w:rsid w:val="0090271F"/>
    <w:rsid w:val="00902742"/>
    <w:rsid w:val="00902BA0"/>
    <w:rsid w:val="00902E0E"/>
    <w:rsid w:val="00902FCC"/>
    <w:rsid w:val="009032C5"/>
    <w:rsid w:val="00903930"/>
    <w:rsid w:val="00903B50"/>
    <w:rsid w:val="00903FAC"/>
    <w:rsid w:val="00903FC3"/>
    <w:rsid w:val="0090447A"/>
    <w:rsid w:val="0090469D"/>
    <w:rsid w:val="00904958"/>
    <w:rsid w:val="00904EEB"/>
    <w:rsid w:val="00905070"/>
    <w:rsid w:val="00905339"/>
    <w:rsid w:val="00905377"/>
    <w:rsid w:val="00905696"/>
    <w:rsid w:val="009059CC"/>
    <w:rsid w:val="00905D91"/>
    <w:rsid w:val="00905EB8"/>
    <w:rsid w:val="00905FCE"/>
    <w:rsid w:val="00905FE7"/>
    <w:rsid w:val="00906CC0"/>
    <w:rsid w:val="00907224"/>
    <w:rsid w:val="00907342"/>
    <w:rsid w:val="0090743E"/>
    <w:rsid w:val="009075E3"/>
    <w:rsid w:val="00907C21"/>
    <w:rsid w:val="00910511"/>
    <w:rsid w:val="009105FC"/>
    <w:rsid w:val="0091088E"/>
    <w:rsid w:val="00910D63"/>
    <w:rsid w:val="00910E23"/>
    <w:rsid w:val="00911972"/>
    <w:rsid w:val="009120F0"/>
    <w:rsid w:val="009121DD"/>
    <w:rsid w:val="00912337"/>
    <w:rsid w:val="00912614"/>
    <w:rsid w:val="00912D10"/>
    <w:rsid w:val="00913018"/>
    <w:rsid w:val="00913301"/>
    <w:rsid w:val="009138B2"/>
    <w:rsid w:val="00913F79"/>
    <w:rsid w:val="00914A57"/>
    <w:rsid w:val="00914AE5"/>
    <w:rsid w:val="00915652"/>
    <w:rsid w:val="00916001"/>
    <w:rsid w:val="00916296"/>
    <w:rsid w:val="00916844"/>
    <w:rsid w:val="00916C9B"/>
    <w:rsid w:val="00916CE9"/>
    <w:rsid w:val="009170E7"/>
    <w:rsid w:val="0091732C"/>
    <w:rsid w:val="009178DB"/>
    <w:rsid w:val="00917F0D"/>
    <w:rsid w:val="009200DA"/>
    <w:rsid w:val="0092119B"/>
    <w:rsid w:val="0092158D"/>
    <w:rsid w:val="009215B9"/>
    <w:rsid w:val="00921E1F"/>
    <w:rsid w:val="00922378"/>
    <w:rsid w:val="009225BD"/>
    <w:rsid w:val="0092289A"/>
    <w:rsid w:val="00922D34"/>
    <w:rsid w:val="00922EE0"/>
    <w:rsid w:val="00923B11"/>
    <w:rsid w:val="00923D3A"/>
    <w:rsid w:val="00923F06"/>
    <w:rsid w:val="009247CA"/>
    <w:rsid w:val="00924F06"/>
    <w:rsid w:val="00925557"/>
    <w:rsid w:val="0092559F"/>
    <w:rsid w:val="00925A50"/>
    <w:rsid w:val="00925B53"/>
    <w:rsid w:val="00925BB9"/>
    <w:rsid w:val="00925CE7"/>
    <w:rsid w:val="00925DBA"/>
    <w:rsid w:val="00925E2E"/>
    <w:rsid w:val="00926927"/>
    <w:rsid w:val="00926CC7"/>
    <w:rsid w:val="00926F6D"/>
    <w:rsid w:val="00926F94"/>
    <w:rsid w:val="009273CD"/>
    <w:rsid w:val="009276E8"/>
    <w:rsid w:val="009300D0"/>
    <w:rsid w:val="00930201"/>
    <w:rsid w:val="00930A7F"/>
    <w:rsid w:val="009316C4"/>
    <w:rsid w:val="009316F9"/>
    <w:rsid w:val="0093170D"/>
    <w:rsid w:val="009318BA"/>
    <w:rsid w:val="00931B56"/>
    <w:rsid w:val="00931FD3"/>
    <w:rsid w:val="00932384"/>
    <w:rsid w:val="00932689"/>
    <w:rsid w:val="009328BF"/>
    <w:rsid w:val="00932E90"/>
    <w:rsid w:val="009333F4"/>
    <w:rsid w:val="009335B4"/>
    <w:rsid w:val="009335F3"/>
    <w:rsid w:val="009337E0"/>
    <w:rsid w:val="009339D9"/>
    <w:rsid w:val="00933A94"/>
    <w:rsid w:val="00933B07"/>
    <w:rsid w:val="00933B97"/>
    <w:rsid w:val="00933D56"/>
    <w:rsid w:val="009345AF"/>
    <w:rsid w:val="0093467B"/>
    <w:rsid w:val="0093469F"/>
    <w:rsid w:val="0093478B"/>
    <w:rsid w:val="00934940"/>
    <w:rsid w:val="00934DC3"/>
    <w:rsid w:val="00934F81"/>
    <w:rsid w:val="0093510B"/>
    <w:rsid w:val="00935532"/>
    <w:rsid w:val="00935672"/>
    <w:rsid w:val="009357C2"/>
    <w:rsid w:val="00935B11"/>
    <w:rsid w:val="0093616F"/>
    <w:rsid w:val="00936E45"/>
    <w:rsid w:val="009371E5"/>
    <w:rsid w:val="00937235"/>
    <w:rsid w:val="00937352"/>
    <w:rsid w:val="009376B1"/>
    <w:rsid w:val="00937725"/>
    <w:rsid w:val="00937ABA"/>
    <w:rsid w:val="00937B0C"/>
    <w:rsid w:val="009400D1"/>
    <w:rsid w:val="00940230"/>
    <w:rsid w:val="009407B5"/>
    <w:rsid w:val="00940CBE"/>
    <w:rsid w:val="00940F4E"/>
    <w:rsid w:val="00941B6D"/>
    <w:rsid w:val="00942964"/>
    <w:rsid w:val="00942D78"/>
    <w:rsid w:val="00942EC7"/>
    <w:rsid w:val="009433AD"/>
    <w:rsid w:val="009433B6"/>
    <w:rsid w:val="00943834"/>
    <w:rsid w:val="00943EAB"/>
    <w:rsid w:val="00943ECD"/>
    <w:rsid w:val="009442D7"/>
    <w:rsid w:val="009442E1"/>
    <w:rsid w:val="00945799"/>
    <w:rsid w:val="00945B44"/>
    <w:rsid w:val="00945F12"/>
    <w:rsid w:val="0094608D"/>
    <w:rsid w:val="009462B5"/>
    <w:rsid w:val="009469FE"/>
    <w:rsid w:val="00946AA4"/>
    <w:rsid w:val="009471A4"/>
    <w:rsid w:val="009476B4"/>
    <w:rsid w:val="009476EC"/>
    <w:rsid w:val="00947862"/>
    <w:rsid w:val="009503C0"/>
    <w:rsid w:val="009504C2"/>
    <w:rsid w:val="00950557"/>
    <w:rsid w:val="00950A07"/>
    <w:rsid w:val="00950CA8"/>
    <w:rsid w:val="00950CD6"/>
    <w:rsid w:val="00950E97"/>
    <w:rsid w:val="009511D8"/>
    <w:rsid w:val="00951AA0"/>
    <w:rsid w:val="00952A26"/>
    <w:rsid w:val="00952C06"/>
    <w:rsid w:val="00953563"/>
    <w:rsid w:val="0095358A"/>
    <w:rsid w:val="00953709"/>
    <w:rsid w:val="009537A7"/>
    <w:rsid w:val="00953898"/>
    <w:rsid w:val="00953B4F"/>
    <w:rsid w:val="00953BB6"/>
    <w:rsid w:val="00953BE5"/>
    <w:rsid w:val="0095467B"/>
    <w:rsid w:val="00954726"/>
    <w:rsid w:val="0095505E"/>
    <w:rsid w:val="00955233"/>
    <w:rsid w:val="009554C3"/>
    <w:rsid w:val="00955CC3"/>
    <w:rsid w:val="009560B5"/>
    <w:rsid w:val="00956B20"/>
    <w:rsid w:val="00956EB9"/>
    <w:rsid w:val="00957218"/>
    <w:rsid w:val="0095731C"/>
    <w:rsid w:val="00957591"/>
    <w:rsid w:val="009578F1"/>
    <w:rsid w:val="00957ECE"/>
    <w:rsid w:val="0096023A"/>
    <w:rsid w:val="00960889"/>
    <w:rsid w:val="00960A38"/>
    <w:rsid w:val="00960C3B"/>
    <w:rsid w:val="00960D6C"/>
    <w:rsid w:val="00961263"/>
    <w:rsid w:val="00961287"/>
    <w:rsid w:val="00961693"/>
    <w:rsid w:val="009618E1"/>
    <w:rsid w:val="00961F5D"/>
    <w:rsid w:val="0096225E"/>
    <w:rsid w:val="00962E50"/>
    <w:rsid w:val="00963524"/>
    <w:rsid w:val="009644EF"/>
    <w:rsid w:val="00964682"/>
    <w:rsid w:val="00965107"/>
    <w:rsid w:val="009655BC"/>
    <w:rsid w:val="00965628"/>
    <w:rsid w:val="00965C5B"/>
    <w:rsid w:val="00965F52"/>
    <w:rsid w:val="00965F7C"/>
    <w:rsid w:val="00966093"/>
    <w:rsid w:val="00966316"/>
    <w:rsid w:val="00966351"/>
    <w:rsid w:val="009663BF"/>
    <w:rsid w:val="009669EF"/>
    <w:rsid w:val="009674DF"/>
    <w:rsid w:val="009707E6"/>
    <w:rsid w:val="00970869"/>
    <w:rsid w:val="00970BB5"/>
    <w:rsid w:val="00970D9C"/>
    <w:rsid w:val="009711BA"/>
    <w:rsid w:val="00971FD0"/>
    <w:rsid w:val="009728FA"/>
    <w:rsid w:val="00972C10"/>
    <w:rsid w:val="00972FF3"/>
    <w:rsid w:val="0097362D"/>
    <w:rsid w:val="00973AD1"/>
    <w:rsid w:val="009740EC"/>
    <w:rsid w:val="0097508D"/>
    <w:rsid w:val="0097657C"/>
    <w:rsid w:val="009766B2"/>
    <w:rsid w:val="00977007"/>
    <w:rsid w:val="00977318"/>
    <w:rsid w:val="00977895"/>
    <w:rsid w:val="00977AB5"/>
    <w:rsid w:val="00977D2E"/>
    <w:rsid w:val="00977DBA"/>
    <w:rsid w:val="00977ECA"/>
    <w:rsid w:val="0098011C"/>
    <w:rsid w:val="0098054F"/>
    <w:rsid w:val="00980961"/>
    <w:rsid w:val="00980CEF"/>
    <w:rsid w:val="00980D9B"/>
    <w:rsid w:val="00980E23"/>
    <w:rsid w:val="009811A0"/>
    <w:rsid w:val="009815A0"/>
    <w:rsid w:val="00981789"/>
    <w:rsid w:val="009824EF"/>
    <w:rsid w:val="00982A2B"/>
    <w:rsid w:val="00982BEE"/>
    <w:rsid w:val="009831A7"/>
    <w:rsid w:val="0098321A"/>
    <w:rsid w:val="009833B5"/>
    <w:rsid w:val="0098349E"/>
    <w:rsid w:val="00983791"/>
    <w:rsid w:val="00983E07"/>
    <w:rsid w:val="009844C3"/>
    <w:rsid w:val="009846C7"/>
    <w:rsid w:val="00984AA1"/>
    <w:rsid w:val="00984B2C"/>
    <w:rsid w:val="00984F86"/>
    <w:rsid w:val="009852C0"/>
    <w:rsid w:val="00985A58"/>
    <w:rsid w:val="00985A95"/>
    <w:rsid w:val="00985C16"/>
    <w:rsid w:val="00986568"/>
    <w:rsid w:val="00986A1C"/>
    <w:rsid w:val="00986FA4"/>
    <w:rsid w:val="009871B3"/>
    <w:rsid w:val="0098733D"/>
    <w:rsid w:val="0098738A"/>
    <w:rsid w:val="00987429"/>
    <w:rsid w:val="00987430"/>
    <w:rsid w:val="0098793E"/>
    <w:rsid w:val="00987955"/>
    <w:rsid w:val="00987A4E"/>
    <w:rsid w:val="00991583"/>
    <w:rsid w:val="00991C65"/>
    <w:rsid w:val="0099213C"/>
    <w:rsid w:val="0099289A"/>
    <w:rsid w:val="00992917"/>
    <w:rsid w:val="00992A9B"/>
    <w:rsid w:val="00992FDC"/>
    <w:rsid w:val="00993766"/>
    <w:rsid w:val="009942A1"/>
    <w:rsid w:val="009942C3"/>
    <w:rsid w:val="00994517"/>
    <w:rsid w:val="00994BA1"/>
    <w:rsid w:val="00994BE6"/>
    <w:rsid w:val="0099571E"/>
    <w:rsid w:val="009959FD"/>
    <w:rsid w:val="00995E73"/>
    <w:rsid w:val="009963AD"/>
    <w:rsid w:val="00996BE2"/>
    <w:rsid w:val="00996C9C"/>
    <w:rsid w:val="00996DBF"/>
    <w:rsid w:val="009973C1"/>
    <w:rsid w:val="00997767"/>
    <w:rsid w:val="00997D79"/>
    <w:rsid w:val="00997F06"/>
    <w:rsid w:val="009A0412"/>
    <w:rsid w:val="009A0472"/>
    <w:rsid w:val="009A0E49"/>
    <w:rsid w:val="009A0E62"/>
    <w:rsid w:val="009A1C11"/>
    <w:rsid w:val="009A1C95"/>
    <w:rsid w:val="009A27CD"/>
    <w:rsid w:val="009A2DDF"/>
    <w:rsid w:val="009A2EE5"/>
    <w:rsid w:val="009A401C"/>
    <w:rsid w:val="009A4295"/>
    <w:rsid w:val="009A4956"/>
    <w:rsid w:val="009A51F3"/>
    <w:rsid w:val="009A53C4"/>
    <w:rsid w:val="009A54B9"/>
    <w:rsid w:val="009A5E37"/>
    <w:rsid w:val="009A5ED8"/>
    <w:rsid w:val="009A60DF"/>
    <w:rsid w:val="009A62FA"/>
    <w:rsid w:val="009A6682"/>
    <w:rsid w:val="009A6BD1"/>
    <w:rsid w:val="009A72DB"/>
    <w:rsid w:val="009A7312"/>
    <w:rsid w:val="009A7334"/>
    <w:rsid w:val="009A7360"/>
    <w:rsid w:val="009A7A57"/>
    <w:rsid w:val="009A7AC9"/>
    <w:rsid w:val="009B0291"/>
    <w:rsid w:val="009B06A2"/>
    <w:rsid w:val="009B082C"/>
    <w:rsid w:val="009B0A4E"/>
    <w:rsid w:val="009B0DC5"/>
    <w:rsid w:val="009B1C46"/>
    <w:rsid w:val="009B1EB5"/>
    <w:rsid w:val="009B1FA2"/>
    <w:rsid w:val="009B2149"/>
    <w:rsid w:val="009B242F"/>
    <w:rsid w:val="009B26F7"/>
    <w:rsid w:val="009B2886"/>
    <w:rsid w:val="009B2E7D"/>
    <w:rsid w:val="009B301C"/>
    <w:rsid w:val="009B39E8"/>
    <w:rsid w:val="009B3DD4"/>
    <w:rsid w:val="009B3E46"/>
    <w:rsid w:val="009B46E8"/>
    <w:rsid w:val="009B4922"/>
    <w:rsid w:val="009B4EAD"/>
    <w:rsid w:val="009B5135"/>
    <w:rsid w:val="009B56B9"/>
    <w:rsid w:val="009B5768"/>
    <w:rsid w:val="009B5878"/>
    <w:rsid w:val="009B5D62"/>
    <w:rsid w:val="009B5DA3"/>
    <w:rsid w:val="009B6564"/>
    <w:rsid w:val="009B6F3E"/>
    <w:rsid w:val="009B6FD3"/>
    <w:rsid w:val="009B7A5C"/>
    <w:rsid w:val="009C0114"/>
    <w:rsid w:val="009C034E"/>
    <w:rsid w:val="009C0407"/>
    <w:rsid w:val="009C041C"/>
    <w:rsid w:val="009C06C0"/>
    <w:rsid w:val="009C07AA"/>
    <w:rsid w:val="009C17A1"/>
    <w:rsid w:val="009C1AA9"/>
    <w:rsid w:val="009C2059"/>
    <w:rsid w:val="009C32D5"/>
    <w:rsid w:val="009C3502"/>
    <w:rsid w:val="009C3833"/>
    <w:rsid w:val="009C447F"/>
    <w:rsid w:val="009C465B"/>
    <w:rsid w:val="009C4768"/>
    <w:rsid w:val="009C482F"/>
    <w:rsid w:val="009C4842"/>
    <w:rsid w:val="009C5C0E"/>
    <w:rsid w:val="009C5C53"/>
    <w:rsid w:val="009C65C5"/>
    <w:rsid w:val="009C687F"/>
    <w:rsid w:val="009C6F3F"/>
    <w:rsid w:val="009C7010"/>
    <w:rsid w:val="009C7570"/>
    <w:rsid w:val="009C7DC9"/>
    <w:rsid w:val="009C7F09"/>
    <w:rsid w:val="009D03DB"/>
    <w:rsid w:val="009D1288"/>
    <w:rsid w:val="009D1438"/>
    <w:rsid w:val="009D18D4"/>
    <w:rsid w:val="009D1AFA"/>
    <w:rsid w:val="009D1B73"/>
    <w:rsid w:val="009D1F5A"/>
    <w:rsid w:val="009D3422"/>
    <w:rsid w:val="009D351A"/>
    <w:rsid w:val="009D4A9C"/>
    <w:rsid w:val="009D53E6"/>
    <w:rsid w:val="009D556A"/>
    <w:rsid w:val="009D59E1"/>
    <w:rsid w:val="009D5C50"/>
    <w:rsid w:val="009D6426"/>
    <w:rsid w:val="009D6C2A"/>
    <w:rsid w:val="009D6C91"/>
    <w:rsid w:val="009D7174"/>
    <w:rsid w:val="009D7949"/>
    <w:rsid w:val="009D7C59"/>
    <w:rsid w:val="009E07F3"/>
    <w:rsid w:val="009E1144"/>
    <w:rsid w:val="009E137B"/>
    <w:rsid w:val="009E180C"/>
    <w:rsid w:val="009E1C05"/>
    <w:rsid w:val="009E2062"/>
    <w:rsid w:val="009E262D"/>
    <w:rsid w:val="009E264C"/>
    <w:rsid w:val="009E2794"/>
    <w:rsid w:val="009E2989"/>
    <w:rsid w:val="009E2B83"/>
    <w:rsid w:val="009E2BDC"/>
    <w:rsid w:val="009E30AB"/>
    <w:rsid w:val="009E30C1"/>
    <w:rsid w:val="009E31AC"/>
    <w:rsid w:val="009E325E"/>
    <w:rsid w:val="009E3629"/>
    <w:rsid w:val="009E3F5B"/>
    <w:rsid w:val="009E5513"/>
    <w:rsid w:val="009E5666"/>
    <w:rsid w:val="009E5EE4"/>
    <w:rsid w:val="009E5F0B"/>
    <w:rsid w:val="009E62AF"/>
    <w:rsid w:val="009E63A3"/>
    <w:rsid w:val="009E6E0A"/>
    <w:rsid w:val="009E7556"/>
    <w:rsid w:val="009E7646"/>
    <w:rsid w:val="009E7807"/>
    <w:rsid w:val="009E7AAF"/>
    <w:rsid w:val="009E7F2A"/>
    <w:rsid w:val="009F02F7"/>
    <w:rsid w:val="009F08E3"/>
    <w:rsid w:val="009F0AF4"/>
    <w:rsid w:val="009F0BA7"/>
    <w:rsid w:val="009F0C62"/>
    <w:rsid w:val="009F10E2"/>
    <w:rsid w:val="009F1371"/>
    <w:rsid w:val="009F1D32"/>
    <w:rsid w:val="009F1FF4"/>
    <w:rsid w:val="009F268D"/>
    <w:rsid w:val="009F2E1C"/>
    <w:rsid w:val="009F2F15"/>
    <w:rsid w:val="009F3458"/>
    <w:rsid w:val="009F3565"/>
    <w:rsid w:val="009F3C4B"/>
    <w:rsid w:val="009F3D80"/>
    <w:rsid w:val="009F3FF2"/>
    <w:rsid w:val="009F40D5"/>
    <w:rsid w:val="009F42D5"/>
    <w:rsid w:val="009F48A9"/>
    <w:rsid w:val="009F4CFB"/>
    <w:rsid w:val="009F4D21"/>
    <w:rsid w:val="009F62D3"/>
    <w:rsid w:val="009F63EB"/>
    <w:rsid w:val="009F6AC2"/>
    <w:rsid w:val="009F7202"/>
    <w:rsid w:val="009F739B"/>
    <w:rsid w:val="009F75ED"/>
    <w:rsid w:val="009F7D25"/>
    <w:rsid w:val="009F7EE8"/>
    <w:rsid w:val="009F7F49"/>
    <w:rsid w:val="00A004A2"/>
    <w:rsid w:val="00A00C15"/>
    <w:rsid w:val="00A01369"/>
    <w:rsid w:val="00A01377"/>
    <w:rsid w:val="00A01387"/>
    <w:rsid w:val="00A0197D"/>
    <w:rsid w:val="00A01F4C"/>
    <w:rsid w:val="00A022EB"/>
    <w:rsid w:val="00A025F4"/>
    <w:rsid w:val="00A026EF"/>
    <w:rsid w:val="00A027E6"/>
    <w:rsid w:val="00A02A7F"/>
    <w:rsid w:val="00A02C5F"/>
    <w:rsid w:val="00A0368D"/>
    <w:rsid w:val="00A03F26"/>
    <w:rsid w:val="00A03F4D"/>
    <w:rsid w:val="00A04263"/>
    <w:rsid w:val="00A043A9"/>
    <w:rsid w:val="00A04627"/>
    <w:rsid w:val="00A04B0C"/>
    <w:rsid w:val="00A04E69"/>
    <w:rsid w:val="00A04F00"/>
    <w:rsid w:val="00A05309"/>
    <w:rsid w:val="00A05B02"/>
    <w:rsid w:val="00A05C01"/>
    <w:rsid w:val="00A05EBA"/>
    <w:rsid w:val="00A06110"/>
    <w:rsid w:val="00A0645E"/>
    <w:rsid w:val="00A0646A"/>
    <w:rsid w:val="00A06548"/>
    <w:rsid w:val="00A06642"/>
    <w:rsid w:val="00A066BE"/>
    <w:rsid w:val="00A06AE8"/>
    <w:rsid w:val="00A06B37"/>
    <w:rsid w:val="00A06EBB"/>
    <w:rsid w:val="00A07229"/>
    <w:rsid w:val="00A07C7D"/>
    <w:rsid w:val="00A100A8"/>
    <w:rsid w:val="00A1077F"/>
    <w:rsid w:val="00A109A1"/>
    <w:rsid w:val="00A10BC0"/>
    <w:rsid w:val="00A10F0A"/>
    <w:rsid w:val="00A11426"/>
    <w:rsid w:val="00A117A6"/>
    <w:rsid w:val="00A11A3C"/>
    <w:rsid w:val="00A11B75"/>
    <w:rsid w:val="00A12049"/>
    <w:rsid w:val="00A12A8C"/>
    <w:rsid w:val="00A12C48"/>
    <w:rsid w:val="00A12CCF"/>
    <w:rsid w:val="00A1375C"/>
    <w:rsid w:val="00A139DA"/>
    <w:rsid w:val="00A13BAC"/>
    <w:rsid w:val="00A13CB0"/>
    <w:rsid w:val="00A1415C"/>
    <w:rsid w:val="00A14238"/>
    <w:rsid w:val="00A1429F"/>
    <w:rsid w:val="00A142BE"/>
    <w:rsid w:val="00A16124"/>
    <w:rsid w:val="00A166E0"/>
    <w:rsid w:val="00A16E0F"/>
    <w:rsid w:val="00A1766E"/>
    <w:rsid w:val="00A1794E"/>
    <w:rsid w:val="00A17E37"/>
    <w:rsid w:val="00A2091B"/>
    <w:rsid w:val="00A21002"/>
    <w:rsid w:val="00A21ADE"/>
    <w:rsid w:val="00A21D02"/>
    <w:rsid w:val="00A21D3C"/>
    <w:rsid w:val="00A21DDF"/>
    <w:rsid w:val="00A21E70"/>
    <w:rsid w:val="00A21EA8"/>
    <w:rsid w:val="00A228C6"/>
    <w:rsid w:val="00A22B13"/>
    <w:rsid w:val="00A22F39"/>
    <w:rsid w:val="00A22F78"/>
    <w:rsid w:val="00A22F9F"/>
    <w:rsid w:val="00A23488"/>
    <w:rsid w:val="00A23528"/>
    <w:rsid w:val="00A242CB"/>
    <w:rsid w:val="00A2443C"/>
    <w:rsid w:val="00A244A8"/>
    <w:rsid w:val="00A24518"/>
    <w:rsid w:val="00A24588"/>
    <w:rsid w:val="00A24AE9"/>
    <w:rsid w:val="00A24E8D"/>
    <w:rsid w:val="00A25A59"/>
    <w:rsid w:val="00A25BF8"/>
    <w:rsid w:val="00A27297"/>
    <w:rsid w:val="00A2739A"/>
    <w:rsid w:val="00A27410"/>
    <w:rsid w:val="00A274FB"/>
    <w:rsid w:val="00A27AF6"/>
    <w:rsid w:val="00A30336"/>
    <w:rsid w:val="00A305A6"/>
    <w:rsid w:val="00A305AE"/>
    <w:rsid w:val="00A30870"/>
    <w:rsid w:val="00A308B3"/>
    <w:rsid w:val="00A30BDD"/>
    <w:rsid w:val="00A30D08"/>
    <w:rsid w:val="00A30E02"/>
    <w:rsid w:val="00A311B3"/>
    <w:rsid w:val="00A31323"/>
    <w:rsid w:val="00A31A10"/>
    <w:rsid w:val="00A31AB2"/>
    <w:rsid w:val="00A31FFF"/>
    <w:rsid w:val="00A32246"/>
    <w:rsid w:val="00A322C7"/>
    <w:rsid w:val="00A326B3"/>
    <w:rsid w:val="00A32917"/>
    <w:rsid w:val="00A32D09"/>
    <w:rsid w:val="00A3315D"/>
    <w:rsid w:val="00A333F6"/>
    <w:rsid w:val="00A33756"/>
    <w:rsid w:val="00A33FE9"/>
    <w:rsid w:val="00A34555"/>
    <w:rsid w:val="00A34718"/>
    <w:rsid w:val="00A3474C"/>
    <w:rsid w:val="00A347B5"/>
    <w:rsid w:val="00A349FB"/>
    <w:rsid w:val="00A34A45"/>
    <w:rsid w:val="00A3527F"/>
    <w:rsid w:val="00A35B16"/>
    <w:rsid w:val="00A35B53"/>
    <w:rsid w:val="00A35CF6"/>
    <w:rsid w:val="00A35F7A"/>
    <w:rsid w:val="00A3605A"/>
    <w:rsid w:val="00A3625B"/>
    <w:rsid w:val="00A362EF"/>
    <w:rsid w:val="00A368B8"/>
    <w:rsid w:val="00A36A5D"/>
    <w:rsid w:val="00A36E49"/>
    <w:rsid w:val="00A36EC6"/>
    <w:rsid w:val="00A36EFB"/>
    <w:rsid w:val="00A37777"/>
    <w:rsid w:val="00A3778D"/>
    <w:rsid w:val="00A37DF2"/>
    <w:rsid w:val="00A40251"/>
    <w:rsid w:val="00A406EA"/>
    <w:rsid w:val="00A4080E"/>
    <w:rsid w:val="00A40B0A"/>
    <w:rsid w:val="00A40C1E"/>
    <w:rsid w:val="00A40D52"/>
    <w:rsid w:val="00A4157F"/>
    <w:rsid w:val="00A41ECF"/>
    <w:rsid w:val="00A426F8"/>
    <w:rsid w:val="00A42749"/>
    <w:rsid w:val="00A427AE"/>
    <w:rsid w:val="00A42F3D"/>
    <w:rsid w:val="00A42FC0"/>
    <w:rsid w:val="00A4309F"/>
    <w:rsid w:val="00A431F6"/>
    <w:rsid w:val="00A43896"/>
    <w:rsid w:val="00A43AF6"/>
    <w:rsid w:val="00A440A8"/>
    <w:rsid w:val="00A4415F"/>
    <w:rsid w:val="00A44949"/>
    <w:rsid w:val="00A45283"/>
    <w:rsid w:val="00A455DD"/>
    <w:rsid w:val="00A4590F"/>
    <w:rsid w:val="00A4592D"/>
    <w:rsid w:val="00A46327"/>
    <w:rsid w:val="00A468BC"/>
    <w:rsid w:val="00A4690E"/>
    <w:rsid w:val="00A46AC0"/>
    <w:rsid w:val="00A4737D"/>
    <w:rsid w:val="00A4738B"/>
    <w:rsid w:val="00A474CB"/>
    <w:rsid w:val="00A475B3"/>
    <w:rsid w:val="00A475C2"/>
    <w:rsid w:val="00A50184"/>
    <w:rsid w:val="00A50B93"/>
    <w:rsid w:val="00A50C81"/>
    <w:rsid w:val="00A50DB6"/>
    <w:rsid w:val="00A51034"/>
    <w:rsid w:val="00A51277"/>
    <w:rsid w:val="00A517E8"/>
    <w:rsid w:val="00A51D9C"/>
    <w:rsid w:val="00A51F5E"/>
    <w:rsid w:val="00A52324"/>
    <w:rsid w:val="00A52863"/>
    <w:rsid w:val="00A52E55"/>
    <w:rsid w:val="00A53264"/>
    <w:rsid w:val="00A53873"/>
    <w:rsid w:val="00A53C72"/>
    <w:rsid w:val="00A53FEE"/>
    <w:rsid w:val="00A5415A"/>
    <w:rsid w:val="00A544FA"/>
    <w:rsid w:val="00A54F76"/>
    <w:rsid w:val="00A55107"/>
    <w:rsid w:val="00A55202"/>
    <w:rsid w:val="00A556B3"/>
    <w:rsid w:val="00A55E28"/>
    <w:rsid w:val="00A55E8B"/>
    <w:rsid w:val="00A55F14"/>
    <w:rsid w:val="00A5611C"/>
    <w:rsid w:val="00A567A6"/>
    <w:rsid w:val="00A56831"/>
    <w:rsid w:val="00A57031"/>
    <w:rsid w:val="00A575AB"/>
    <w:rsid w:val="00A57667"/>
    <w:rsid w:val="00A576F4"/>
    <w:rsid w:val="00A60293"/>
    <w:rsid w:val="00A607DD"/>
    <w:rsid w:val="00A60ABA"/>
    <w:rsid w:val="00A6170D"/>
    <w:rsid w:val="00A61A08"/>
    <w:rsid w:val="00A61F0C"/>
    <w:rsid w:val="00A62AFC"/>
    <w:rsid w:val="00A62C2C"/>
    <w:rsid w:val="00A62FFF"/>
    <w:rsid w:val="00A63769"/>
    <w:rsid w:val="00A63B89"/>
    <w:rsid w:val="00A63C25"/>
    <w:rsid w:val="00A63F3A"/>
    <w:rsid w:val="00A643AA"/>
    <w:rsid w:val="00A6496E"/>
    <w:rsid w:val="00A651A4"/>
    <w:rsid w:val="00A653FB"/>
    <w:rsid w:val="00A65BD2"/>
    <w:rsid w:val="00A65C66"/>
    <w:rsid w:val="00A666A0"/>
    <w:rsid w:val="00A6671F"/>
    <w:rsid w:val="00A671E3"/>
    <w:rsid w:val="00A6729F"/>
    <w:rsid w:val="00A67690"/>
    <w:rsid w:val="00A679FF"/>
    <w:rsid w:val="00A67FE9"/>
    <w:rsid w:val="00A70184"/>
    <w:rsid w:val="00A70E71"/>
    <w:rsid w:val="00A71542"/>
    <w:rsid w:val="00A722D3"/>
    <w:rsid w:val="00A7235C"/>
    <w:rsid w:val="00A72AEA"/>
    <w:rsid w:val="00A73C03"/>
    <w:rsid w:val="00A73FA9"/>
    <w:rsid w:val="00A7417F"/>
    <w:rsid w:val="00A74213"/>
    <w:rsid w:val="00A745F3"/>
    <w:rsid w:val="00A74699"/>
    <w:rsid w:val="00A7469E"/>
    <w:rsid w:val="00A74BA9"/>
    <w:rsid w:val="00A75A8F"/>
    <w:rsid w:val="00A75B7B"/>
    <w:rsid w:val="00A75E30"/>
    <w:rsid w:val="00A7602A"/>
    <w:rsid w:val="00A761AB"/>
    <w:rsid w:val="00A76317"/>
    <w:rsid w:val="00A768B4"/>
    <w:rsid w:val="00A769BC"/>
    <w:rsid w:val="00A76A9F"/>
    <w:rsid w:val="00A76DDB"/>
    <w:rsid w:val="00A77505"/>
    <w:rsid w:val="00A77810"/>
    <w:rsid w:val="00A77ACA"/>
    <w:rsid w:val="00A77B7A"/>
    <w:rsid w:val="00A8014F"/>
    <w:rsid w:val="00A8018A"/>
    <w:rsid w:val="00A808A2"/>
    <w:rsid w:val="00A80C22"/>
    <w:rsid w:val="00A80DDF"/>
    <w:rsid w:val="00A80EF6"/>
    <w:rsid w:val="00A80F13"/>
    <w:rsid w:val="00A81177"/>
    <w:rsid w:val="00A813F8"/>
    <w:rsid w:val="00A819D7"/>
    <w:rsid w:val="00A82325"/>
    <w:rsid w:val="00A82A5B"/>
    <w:rsid w:val="00A83081"/>
    <w:rsid w:val="00A834C2"/>
    <w:rsid w:val="00A83B50"/>
    <w:rsid w:val="00A83C71"/>
    <w:rsid w:val="00A83E63"/>
    <w:rsid w:val="00A83E78"/>
    <w:rsid w:val="00A8466F"/>
    <w:rsid w:val="00A846D8"/>
    <w:rsid w:val="00A84A27"/>
    <w:rsid w:val="00A85004"/>
    <w:rsid w:val="00A8519A"/>
    <w:rsid w:val="00A8520C"/>
    <w:rsid w:val="00A861C3"/>
    <w:rsid w:val="00A870A3"/>
    <w:rsid w:val="00A8724E"/>
    <w:rsid w:val="00A8779C"/>
    <w:rsid w:val="00A87FA8"/>
    <w:rsid w:val="00A900C7"/>
    <w:rsid w:val="00A90F6B"/>
    <w:rsid w:val="00A911E0"/>
    <w:rsid w:val="00A91BCC"/>
    <w:rsid w:val="00A91E59"/>
    <w:rsid w:val="00A91EED"/>
    <w:rsid w:val="00A9212A"/>
    <w:rsid w:val="00A92274"/>
    <w:rsid w:val="00A923B1"/>
    <w:rsid w:val="00A92411"/>
    <w:rsid w:val="00A9245C"/>
    <w:rsid w:val="00A92C1D"/>
    <w:rsid w:val="00A92D62"/>
    <w:rsid w:val="00A9310B"/>
    <w:rsid w:val="00A9339E"/>
    <w:rsid w:val="00A93466"/>
    <w:rsid w:val="00A94338"/>
    <w:rsid w:val="00A9451D"/>
    <w:rsid w:val="00A94535"/>
    <w:rsid w:val="00A94DD4"/>
    <w:rsid w:val="00A94EB5"/>
    <w:rsid w:val="00A95639"/>
    <w:rsid w:val="00A956A8"/>
    <w:rsid w:val="00A957E8"/>
    <w:rsid w:val="00A95A2B"/>
    <w:rsid w:val="00A962F9"/>
    <w:rsid w:val="00A96792"/>
    <w:rsid w:val="00A967EE"/>
    <w:rsid w:val="00A96906"/>
    <w:rsid w:val="00A96B48"/>
    <w:rsid w:val="00A96C9E"/>
    <w:rsid w:val="00A96E53"/>
    <w:rsid w:val="00A9709C"/>
    <w:rsid w:val="00A97593"/>
    <w:rsid w:val="00A97B70"/>
    <w:rsid w:val="00A97D99"/>
    <w:rsid w:val="00AA0062"/>
    <w:rsid w:val="00AA042A"/>
    <w:rsid w:val="00AA046A"/>
    <w:rsid w:val="00AA133E"/>
    <w:rsid w:val="00AA1353"/>
    <w:rsid w:val="00AA188A"/>
    <w:rsid w:val="00AA2446"/>
    <w:rsid w:val="00AA2A26"/>
    <w:rsid w:val="00AA2C32"/>
    <w:rsid w:val="00AA3199"/>
    <w:rsid w:val="00AA3413"/>
    <w:rsid w:val="00AA3649"/>
    <w:rsid w:val="00AA36E9"/>
    <w:rsid w:val="00AA3F58"/>
    <w:rsid w:val="00AA538E"/>
    <w:rsid w:val="00AA5527"/>
    <w:rsid w:val="00AA57BE"/>
    <w:rsid w:val="00AA5968"/>
    <w:rsid w:val="00AA5BAB"/>
    <w:rsid w:val="00AA5E3E"/>
    <w:rsid w:val="00AA64B1"/>
    <w:rsid w:val="00AA6574"/>
    <w:rsid w:val="00AA6744"/>
    <w:rsid w:val="00AA6988"/>
    <w:rsid w:val="00AA6AF1"/>
    <w:rsid w:val="00AA6B0B"/>
    <w:rsid w:val="00AA6EF6"/>
    <w:rsid w:val="00AA7526"/>
    <w:rsid w:val="00AA7F3F"/>
    <w:rsid w:val="00AB0225"/>
    <w:rsid w:val="00AB03D2"/>
    <w:rsid w:val="00AB0506"/>
    <w:rsid w:val="00AB0BD7"/>
    <w:rsid w:val="00AB0C48"/>
    <w:rsid w:val="00AB0E9D"/>
    <w:rsid w:val="00AB2438"/>
    <w:rsid w:val="00AB2B41"/>
    <w:rsid w:val="00AB3068"/>
    <w:rsid w:val="00AB3AC1"/>
    <w:rsid w:val="00AB3B65"/>
    <w:rsid w:val="00AB45C1"/>
    <w:rsid w:val="00AB48B7"/>
    <w:rsid w:val="00AB4D85"/>
    <w:rsid w:val="00AB51D0"/>
    <w:rsid w:val="00AB57BE"/>
    <w:rsid w:val="00AB5D5F"/>
    <w:rsid w:val="00AB5DB9"/>
    <w:rsid w:val="00AB5F39"/>
    <w:rsid w:val="00AB5FBB"/>
    <w:rsid w:val="00AB6768"/>
    <w:rsid w:val="00AB6F09"/>
    <w:rsid w:val="00AB75BA"/>
    <w:rsid w:val="00AB7A38"/>
    <w:rsid w:val="00AB7BA9"/>
    <w:rsid w:val="00AC0949"/>
    <w:rsid w:val="00AC0999"/>
    <w:rsid w:val="00AC0E09"/>
    <w:rsid w:val="00AC15BB"/>
    <w:rsid w:val="00AC1643"/>
    <w:rsid w:val="00AC1786"/>
    <w:rsid w:val="00AC1AFE"/>
    <w:rsid w:val="00AC1D94"/>
    <w:rsid w:val="00AC1DE6"/>
    <w:rsid w:val="00AC241C"/>
    <w:rsid w:val="00AC2667"/>
    <w:rsid w:val="00AC2BD2"/>
    <w:rsid w:val="00AC2E54"/>
    <w:rsid w:val="00AC2E7F"/>
    <w:rsid w:val="00AC3365"/>
    <w:rsid w:val="00AC33C6"/>
    <w:rsid w:val="00AC3B85"/>
    <w:rsid w:val="00AC3E99"/>
    <w:rsid w:val="00AC44A6"/>
    <w:rsid w:val="00AC47EF"/>
    <w:rsid w:val="00AC501D"/>
    <w:rsid w:val="00AC50B1"/>
    <w:rsid w:val="00AC52DE"/>
    <w:rsid w:val="00AC55BD"/>
    <w:rsid w:val="00AC55C0"/>
    <w:rsid w:val="00AC579C"/>
    <w:rsid w:val="00AC5D46"/>
    <w:rsid w:val="00AC5EF9"/>
    <w:rsid w:val="00AC635A"/>
    <w:rsid w:val="00AC7782"/>
    <w:rsid w:val="00AC77C5"/>
    <w:rsid w:val="00AC7E30"/>
    <w:rsid w:val="00AD0F9E"/>
    <w:rsid w:val="00AD13D7"/>
    <w:rsid w:val="00AD1B88"/>
    <w:rsid w:val="00AD1CC7"/>
    <w:rsid w:val="00AD232F"/>
    <w:rsid w:val="00AD2556"/>
    <w:rsid w:val="00AD29F4"/>
    <w:rsid w:val="00AD2A79"/>
    <w:rsid w:val="00AD2E51"/>
    <w:rsid w:val="00AD3113"/>
    <w:rsid w:val="00AD3209"/>
    <w:rsid w:val="00AD3536"/>
    <w:rsid w:val="00AD3DD4"/>
    <w:rsid w:val="00AD4081"/>
    <w:rsid w:val="00AD428B"/>
    <w:rsid w:val="00AD43FD"/>
    <w:rsid w:val="00AD4643"/>
    <w:rsid w:val="00AD4A67"/>
    <w:rsid w:val="00AD652E"/>
    <w:rsid w:val="00AD68B5"/>
    <w:rsid w:val="00AD71D8"/>
    <w:rsid w:val="00AD73C4"/>
    <w:rsid w:val="00AD7DAA"/>
    <w:rsid w:val="00AE0644"/>
    <w:rsid w:val="00AE073B"/>
    <w:rsid w:val="00AE0AFF"/>
    <w:rsid w:val="00AE0E2A"/>
    <w:rsid w:val="00AE0F89"/>
    <w:rsid w:val="00AE13BF"/>
    <w:rsid w:val="00AE140A"/>
    <w:rsid w:val="00AE15D5"/>
    <w:rsid w:val="00AE16BB"/>
    <w:rsid w:val="00AE2011"/>
    <w:rsid w:val="00AE2766"/>
    <w:rsid w:val="00AE2DB3"/>
    <w:rsid w:val="00AE3144"/>
    <w:rsid w:val="00AE3262"/>
    <w:rsid w:val="00AE3405"/>
    <w:rsid w:val="00AE373B"/>
    <w:rsid w:val="00AE3845"/>
    <w:rsid w:val="00AE42B8"/>
    <w:rsid w:val="00AE4432"/>
    <w:rsid w:val="00AE4537"/>
    <w:rsid w:val="00AE483E"/>
    <w:rsid w:val="00AE4960"/>
    <w:rsid w:val="00AE4CAD"/>
    <w:rsid w:val="00AE4E7E"/>
    <w:rsid w:val="00AE5003"/>
    <w:rsid w:val="00AE5ADE"/>
    <w:rsid w:val="00AE5F59"/>
    <w:rsid w:val="00AE63B7"/>
    <w:rsid w:val="00AE6594"/>
    <w:rsid w:val="00AE65DB"/>
    <w:rsid w:val="00AE6A7F"/>
    <w:rsid w:val="00AE78E7"/>
    <w:rsid w:val="00AE7964"/>
    <w:rsid w:val="00AE7A22"/>
    <w:rsid w:val="00AE7BDD"/>
    <w:rsid w:val="00AF008B"/>
    <w:rsid w:val="00AF03FD"/>
    <w:rsid w:val="00AF0450"/>
    <w:rsid w:val="00AF0A36"/>
    <w:rsid w:val="00AF0FEB"/>
    <w:rsid w:val="00AF2302"/>
    <w:rsid w:val="00AF26E6"/>
    <w:rsid w:val="00AF27A2"/>
    <w:rsid w:val="00AF3068"/>
    <w:rsid w:val="00AF3592"/>
    <w:rsid w:val="00AF3C04"/>
    <w:rsid w:val="00AF3C61"/>
    <w:rsid w:val="00AF3E66"/>
    <w:rsid w:val="00AF41CF"/>
    <w:rsid w:val="00AF42C1"/>
    <w:rsid w:val="00AF4B08"/>
    <w:rsid w:val="00AF549D"/>
    <w:rsid w:val="00AF56F3"/>
    <w:rsid w:val="00AF5DD3"/>
    <w:rsid w:val="00AF6043"/>
    <w:rsid w:val="00AF6111"/>
    <w:rsid w:val="00AF64D8"/>
    <w:rsid w:val="00AF6A31"/>
    <w:rsid w:val="00AF6A84"/>
    <w:rsid w:val="00AF6AFA"/>
    <w:rsid w:val="00AF6DE2"/>
    <w:rsid w:val="00AF74B3"/>
    <w:rsid w:val="00AF7C81"/>
    <w:rsid w:val="00B007D8"/>
    <w:rsid w:val="00B00949"/>
    <w:rsid w:val="00B00E06"/>
    <w:rsid w:val="00B0162E"/>
    <w:rsid w:val="00B016AD"/>
    <w:rsid w:val="00B01881"/>
    <w:rsid w:val="00B01911"/>
    <w:rsid w:val="00B0191D"/>
    <w:rsid w:val="00B0194B"/>
    <w:rsid w:val="00B01A98"/>
    <w:rsid w:val="00B01D89"/>
    <w:rsid w:val="00B01EBD"/>
    <w:rsid w:val="00B01EC5"/>
    <w:rsid w:val="00B02069"/>
    <w:rsid w:val="00B027C0"/>
    <w:rsid w:val="00B02D61"/>
    <w:rsid w:val="00B0303C"/>
    <w:rsid w:val="00B032C8"/>
    <w:rsid w:val="00B033CD"/>
    <w:rsid w:val="00B03CBB"/>
    <w:rsid w:val="00B04137"/>
    <w:rsid w:val="00B046B0"/>
    <w:rsid w:val="00B04BB2"/>
    <w:rsid w:val="00B05557"/>
    <w:rsid w:val="00B055C5"/>
    <w:rsid w:val="00B0574E"/>
    <w:rsid w:val="00B05A4B"/>
    <w:rsid w:val="00B05CB1"/>
    <w:rsid w:val="00B061D4"/>
    <w:rsid w:val="00B062E2"/>
    <w:rsid w:val="00B07194"/>
    <w:rsid w:val="00B07D41"/>
    <w:rsid w:val="00B10F77"/>
    <w:rsid w:val="00B11494"/>
    <w:rsid w:val="00B11999"/>
    <w:rsid w:val="00B11B1C"/>
    <w:rsid w:val="00B11D6F"/>
    <w:rsid w:val="00B12C5C"/>
    <w:rsid w:val="00B12D24"/>
    <w:rsid w:val="00B12D3B"/>
    <w:rsid w:val="00B12EE2"/>
    <w:rsid w:val="00B1309C"/>
    <w:rsid w:val="00B135CC"/>
    <w:rsid w:val="00B13950"/>
    <w:rsid w:val="00B13A37"/>
    <w:rsid w:val="00B13C17"/>
    <w:rsid w:val="00B14038"/>
    <w:rsid w:val="00B14F56"/>
    <w:rsid w:val="00B154E7"/>
    <w:rsid w:val="00B157FD"/>
    <w:rsid w:val="00B159F2"/>
    <w:rsid w:val="00B15A21"/>
    <w:rsid w:val="00B1665A"/>
    <w:rsid w:val="00B16709"/>
    <w:rsid w:val="00B16C2E"/>
    <w:rsid w:val="00B16C96"/>
    <w:rsid w:val="00B20023"/>
    <w:rsid w:val="00B2013D"/>
    <w:rsid w:val="00B20285"/>
    <w:rsid w:val="00B202C3"/>
    <w:rsid w:val="00B20A96"/>
    <w:rsid w:val="00B20BF8"/>
    <w:rsid w:val="00B2105C"/>
    <w:rsid w:val="00B216A3"/>
    <w:rsid w:val="00B218C7"/>
    <w:rsid w:val="00B21E6A"/>
    <w:rsid w:val="00B21F54"/>
    <w:rsid w:val="00B2209A"/>
    <w:rsid w:val="00B22654"/>
    <w:rsid w:val="00B22D09"/>
    <w:rsid w:val="00B23301"/>
    <w:rsid w:val="00B23508"/>
    <w:rsid w:val="00B2416A"/>
    <w:rsid w:val="00B2420A"/>
    <w:rsid w:val="00B24FFD"/>
    <w:rsid w:val="00B2502D"/>
    <w:rsid w:val="00B25089"/>
    <w:rsid w:val="00B256C5"/>
    <w:rsid w:val="00B259A6"/>
    <w:rsid w:val="00B26C37"/>
    <w:rsid w:val="00B275F5"/>
    <w:rsid w:val="00B27660"/>
    <w:rsid w:val="00B27913"/>
    <w:rsid w:val="00B30341"/>
    <w:rsid w:val="00B30771"/>
    <w:rsid w:val="00B312B8"/>
    <w:rsid w:val="00B31504"/>
    <w:rsid w:val="00B32434"/>
    <w:rsid w:val="00B32564"/>
    <w:rsid w:val="00B3355B"/>
    <w:rsid w:val="00B3393C"/>
    <w:rsid w:val="00B339FE"/>
    <w:rsid w:val="00B34375"/>
    <w:rsid w:val="00B345BD"/>
    <w:rsid w:val="00B3469F"/>
    <w:rsid w:val="00B34DD6"/>
    <w:rsid w:val="00B35004"/>
    <w:rsid w:val="00B35103"/>
    <w:rsid w:val="00B35C65"/>
    <w:rsid w:val="00B360BC"/>
    <w:rsid w:val="00B36338"/>
    <w:rsid w:val="00B370DC"/>
    <w:rsid w:val="00B375F5"/>
    <w:rsid w:val="00B400C0"/>
    <w:rsid w:val="00B401EC"/>
    <w:rsid w:val="00B40802"/>
    <w:rsid w:val="00B40C5A"/>
    <w:rsid w:val="00B411A7"/>
    <w:rsid w:val="00B4123D"/>
    <w:rsid w:val="00B423AC"/>
    <w:rsid w:val="00B4243E"/>
    <w:rsid w:val="00B424B1"/>
    <w:rsid w:val="00B42CBF"/>
    <w:rsid w:val="00B42F52"/>
    <w:rsid w:val="00B43089"/>
    <w:rsid w:val="00B43EE1"/>
    <w:rsid w:val="00B44598"/>
    <w:rsid w:val="00B44C80"/>
    <w:rsid w:val="00B44CFD"/>
    <w:rsid w:val="00B44D9B"/>
    <w:rsid w:val="00B44DD2"/>
    <w:rsid w:val="00B45002"/>
    <w:rsid w:val="00B453C1"/>
    <w:rsid w:val="00B45619"/>
    <w:rsid w:val="00B459C4"/>
    <w:rsid w:val="00B45ED9"/>
    <w:rsid w:val="00B46578"/>
    <w:rsid w:val="00B46DFE"/>
    <w:rsid w:val="00B4740D"/>
    <w:rsid w:val="00B478B9"/>
    <w:rsid w:val="00B47C7A"/>
    <w:rsid w:val="00B47D10"/>
    <w:rsid w:val="00B500AA"/>
    <w:rsid w:val="00B50837"/>
    <w:rsid w:val="00B5154A"/>
    <w:rsid w:val="00B51971"/>
    <w:rsid w:val="00B51B89"/>
    <w:rsid w:val="00B51CF5"/>
    <w:rsid w:val="00B520B2"/>
    <w:rsid w:val="00B52657"/>
    <w:rsid w:val="00B5394B"/>
    <w:rsid w:val="00B53AA7"/>
    <w:rsid w:val="00B53D64"/>
    <w:rsid w:val="00B53E25"/>
    <w:rsid w:val="00B542CC"/>
    <w:rsid w:val="00B55D9F"/>
    <w:rsid w:val="00B55F28"/>
    <w:rsid w:val="00B56504"/>
    <w:rsid w:val="00B5656B"/>
    <w:rsid w:val="00B5659F"/>
    <w:rsid w:val="00B568C7"/>
    <w:rsid w:val="00B56917"/>
    <w:rsid w:val="00B569B4"/>
    <w:rsid w:val="00B57A13"/>
    <w:rsid w:val="00B57FFD"/>
    <w:rsid w:val="00B60395"/>
    <w:rsid w:val="00B6093B"/>
    <w:rsid w:val="00B60FEC"/>
    <w:rsid w:val="00B6127F"/>
    <w:rsid w:val="00B61C00"/>
    <w:rsid w:val="00B62371"/>
    <w:rsid w:val="00B627F6"/>
    <w:rsid w:val="00B62978"/>
    <w:rsid w:val="00B62D64"/>
    <w:rsid w:val="00B62F61"/>
    <w:rsid w:val="00B63A17"/>
    <w:rsid w:val="00B64247"/>
    <w:rsid w:val="00B647A5"/>
    <w:rsid w:val="00B64805"/>
    <w:rsid w:val="00B64B13"/>
    <w:rsid w:val="00B64DC5"/>
    <w:rsid w:val="00B64E1E"/>
    <w:rsid w:val="00B64F96"/>
    <w:rsid w:val="00B65147"/>
    <w:rsid w:val="00B65300"/>
    <w:rsid w:val="00B65B25"/>
    <w:rsid w:val="00B66250"/>
    <w:rsid w:val="00B668D2"/>
    <w:rsid w:val="00B66AE1"/>
    <w:rsid w:val="00B67078"/>
    <w:rsid w:val="00B670C5"/>
    <w:rsid w:val="00B700C2"/>
    <w:rsid w:val="00B7014B"/>
    <w:rsid w:val="00B719D6"/>
    <w:rsid w:val="00B71DD0"/>
    <w:rsid w:val="00B71DE7"/>
    <w:rsid w:val="00B72248"/>
    <w:rsid w:val="00B7275A"/>
    <w:rsid w:val="00B72791"/>
    <w:rsid w:val="00B727BF"/>
    <w:rsid w:val="00B73279"/>
    <w:rsid w:val="00B73906"/>
    <w:rsid w:val="00B739CA"/>
    <w:rsid w:val="00B73A9E"/>
    <w:rsid w:val="00B73FC2"/>
    <w:rsid w:val="00B74D1A"/>
    <w:rsid w:val="00B75B82"/>
    <w:rsid w:val="00B760A0"/>
    <w:rsid w:val="00B7618E"/>
    <w:rsid w:val="00B76705"/>
    <w:rsid w:val="00B76EE6"/>
    <w:rsid w:val="00B77619"/>
    <w:rsid w:val="00B77F6C"/>
    <w:rsid w:val="00B80256"/>
    <w:rsid w:val="00B8036E"/>
    <w:rsid w:val="00B808EB"/>
    <w:rsid w:val="00B80BD3"/>
    <w:rsid w:val="00B814CD"/>
    <w:rsid w:val="00B81649"/>
    <w:rsid w:val="00B81747"/>
    <w:rsid w:val="00B81769"/>
    <w:rsid w:val="00B81968"/>
    <w:rsid w:val="00B820D1"/>
    <w:rsid w:val="00B8233D"/>
    <w:rsid w:val="00B82C18"/>
    <w:rsid w:val="00B832BB"/>
    <w:rsid w:val="00B835FC"/>
    <w:rsid w:val="00B8454B"/>
    <w:rsid w:val="00B8607C"/>
    <w:rsid w:val="00B86203"/>
    <w:rsid w:val="00B862A6"/>
    <w:rsid w:val="00B86632"/>
    <w:rsid w:val="00B8676E"/>
    <w:rsid w:val="00B86777"/>
    <w:rsid w:val="00B8697D"/>
    <w:rsid w:val="00B87128"/>
    <w:rsid w:val="00B87822"/>
    <w:rsid w:val="00B87A18"/>
    <w:rsid w:val="00B900A6"/>
    <w:rsid w:val="00B9071D"/>
    <w:rsid w:val="00B90F50"/>
    <w:rsid w:val="00B91BDA"/>
    <w:rsid w:val="00B91CB1"/>
    <w:rsid w:val="00B91DF3"/>
    <w:rsid w:val="00B91E97"/>
    <w:rsid w:val="00B91FE2"/>
    <w:rsid w:val="00B920B4"/>
    <w:rsid w:val="00B92C09"/>
    <w:rsid w:val="00B92EBF"/>
    <w:rsid w:val="00B932A3"/>
    <w:rsid w:val="00B93702"/>
    <w:rsid w:val="00B9386F"/>
    <w:rsid w:val="00B939B7"/>
    <w:rsid w:val="00B93BEC"/>
    <w:rsid w:val="00B9408C"/>
    <w:rsid w:val="00B941E8"/>
    <w:rsid w:val="00B942F7"/>
    <w:rsid w:val="00B953DE"/>
    <w:rsid w:val="00B954F1"/>
    <w:rsid w:val="00B959B2"/>
    <w:rsid w:val="00B959D0"/>
    <w:rsid w:val="00B959E9"/>
    <w:rsid w:val="00B95B28"/>
    <w:rsid w:val="00B95E56"/>
    <w:rsid w:val="00B95ECD"/>
    <w:rsid w:val="00B961CC"/>
    <w:rsid w:val="00B967F4"/>
    <w:rsid w:val="00B96955"/>
    <w:rsid w:val="00B96D33"/>
    <w:rsid w:val="00B97427"/>
    <w:rsid w:val="00B97594"/>
    <w:rsid w:val="00B976EB"/>
    <w:rsid w:val="00B97B0F"/>
    <w:rsid w:val="00B97B25"/>
    <w:rsid w:val="00B97C33"/>
    <w:rsid w:val="00BA034D"/>
    <w:rsid w:val="00BA0738"/>
    <w:rsid w:val="00BA0F54"/>
    <w:rsid w:val="00BA0FC2"/>
    <w:rsid w:val="00BA1AAD"/>
    <w:rsid w:val="00BA21CF"/>
    <w:rsid w:val="00BA2696"/>
    <w:rsid w:val="00BA2D73"/>
    <w:rsid w:val="00BA35A8"/>
    <w:rsid w:val="00BA39DC"/>
    <w:rsid w:val="00BA3A69"/>
    <w:rsid w:val="00BA4182"/>
    <w:rsid w:val="00BA4338"/>
    <w:rsid w:val="00BA458B"/>
    <w:rsid w:val="00BA4968"/>
    <w:rsid w:val="00BA4A96"/>
    <w:rsid w:val="00BA4EE8"/>
    <w:rsid w:val="00BA534A"/>
    <w:rsid w:val="00BA5560"/>
    <w:rsid w:val="00BA5629"/>
    <w:rsid w:val="00BA5A83"/>
    <w:rsid w:val="00BA67A4"/>
    <w:rsid w:val="00BA6FCF"/>
    <w:rsid w:val="00BA72C8"/>
    <w:rsid w:val="00BA773B"/>
    <w:rsid w:val="00BB054C"/>
    <w:rsid w:val="00BB057B"/>
    <w:rsid w:val="00BB0783"/>
    <w:rsid w:val="00BB07BC"/>
    <w:rsid w:val="00BB07C5"/>
    <w:rsid w:val="00BB141B"/>
    <w:rsid w:val="00BB1519"/>
    <w:rsid w:val="00BB16F3"/>
    <w:rsid w:val="00BB1A1D"/>
    <w:rsid w:val="00BB1AA8"/>
    <w:rsid w:val="00BB1C0F"/>
    <w:rsid w:val="00BB1F02"/>
    <w:rsid w:val="00BB2403"/>
    <w:rsid w:val="00BB2581"/>
    <w:rsid w:val="00BB2B96"/>
    <w:rsid w:val="00BB2C9C"/>
    <w:rsid w:val="00BB3173"/>
    <w:rsid w:val="00BB327C"/>
    <w:rsid w:val="00BB363C"/>
    <w:rsid w:val="00BB36E6"/>
    <w:rsid w:val="00BB3ECD"/>
    <w:rsid w:val="00BB4334"/>
    <w:rsid w:val="00BB484B"/>
    <w:rsid w:val="00BB48E2"/>
    <w:rsid w:val="00BB4C96"/>
    <w:rsid w:val="00BB4CF0"/>
    <w:rsid w:val="00BB56C7"/>
    <w:rsid w:val="00BB5888"/>
    <w:rsid w:val="00BB58AE"/>
    <w:rsid w:val="00BB5FD0"/>
    <w:rsid w:val="00BB6AC9"/>
    <w:rsid w:val="00BB6D91"/>
    <w:rsid w:val="00BB710B"/>
    <w:rsid w:val="00BB7456"/>
    <w:rsid w:val="00BB7497"/>
    <w:rsid w:val="00BB7B6C"/>
    <w:rsid w:val="00BC04A2"/>
    <w:rsid w:val="00BC057E"/>
    <w:rsid w:val="00BC0649"/>
    <w:rsid w:val="00BC065E"/>
    <w:rsid w:val="00BC1394"/>
    <w:rsid w:val="00BC14EC"/>
    <w:rsid w:val="00BC1C55"/>
    <w:rsid w:val="00BC1FAA"/>
    <w:rsid w:val="00BC202B"/>
    <w:rsid w:val="00BC215A"/>
    <w:rsid w:val="00BC2934"/>
    <w:rsid w:val="00BC2D06"/>
    <w:rsid w:val="00BC32E3"/>
    <w:rsid w:val="00BC383A"/>
    <w:rsid w:val="00BC3B6A"/>
    <w:rsid w:val="00BC3EE0"/>
    <w:rsid w:val="00BC42CE"/>
    <w:rsid w:val="00BC472C"/>
    <w:rsid w:val="00BC48EE"/>
    <w:rsid w:val="00BC4914"/>
    <w:rsid w:val="00BC4E2E"/>
    <w:rsid w:val="00BC4F37"/>
    <w:rsid w:val="00BC4F8C"/>
    <w:rsid w:val="00BC527C"/>
    <w:rsid w:val="00BC53B2"/>
    <w:rsid w:val="00BC5486"/>
    <w:rsid w:val="00BC558E"/>
    <w:rsid w:val="00BC5B69"/>
    <w:rsid w:val="00BC651F"/>
    <w:rsid w:val="00BC6BAB"/>
    <w:rsid w:val="00BC6D35"/>
    <w:rsid w:val="00BC7095"/>
    <w:rsid w:val="00BC7604"/>
    <w:rsid w:val="00BC7B88"/>
    <w:rsid w:val="00BD0357"/>
    <w:rsid w:val="00BD121A"/>
    <w:rsid w:val="00BD18E2"/>
    <w:rsid w:val="00BD1AF9"/>
    <w:rsid w:val="00BD1E15"/>
    <w:rsid w:val="00BD26AA"/>
    <w:rsid w:val="00BD3186"/>
    <w:rsid w:val="00BD31EC"/>
    <w:rsid w:val="00BD33CC"/>
    <w:rsid w:val="00BD37AB"/>
    <w:rsid w:val="00BD3CF0"/>
    <w:rsid w:val="00BD43AF"/>
    <w:rsid w:val="00BD4783"/>
    <w:rsid w:val="00BD4C53"/>
    <w:rsid w:val="00BD4E66"/>
    <w:rsid w:val="00BD5121"/>
    <w:rsid w:val="00BD544F"/>
    <w:rsid w:val="00BD58C4"/>
    <w:rsid w:val="00BD5EE7"/>
    <w:rsid w:val="00BD6F2C"/>
    <w:rsid w:val="00BD6F6D"/>
    <w:rsid w:val="00BD72BD"/>
    <w:rsid w:val="00BD72F3"/>
    <w:rsid w:val="00BD7578"/>
    <w:rsid w:val="00BD75E5"/>
    <w:rsid w:val="00BD767F"/>
    <w:rsid w:val="00BD79A9"/>
    <w:rsid w:val="00BD7A99"/>
    <w:rsid w:val="00BD7C5B"/>
    <w:rsid w:val="00BE00E4"/>
    <w:rsid w:val="00BE015C"/>
    <w:rsid w:val="00BE01FB"/>
    <w:rsid w:val="00BE027E"/>
    <w:rsid w:val="00BE02B4"/>
    <w:rsid w:val="00BE0DDC"/>
    <w:rsid w:val="00BE1F3D"/>
    <w:rsid w:val="00BE210C"/>
    <w:rsid w:val="00BE2116"/>
    <w:rsid w:val="00BE2337"/>
    <w:rsid w:val="00BE259B"/>
    <w:rsid w:val="00BE25B2"/>
    <w:rsid w:val="00BE2628"/>
    <w:rsid w:val="00BE2723"/>
    <w:rsid w:val="00BE27B5"/>
    <w:rsid w:val="00BE2AE8"/>
    <w:rsid w:val="00BE3BD4"/>
    <w:rsid w:val="00BE44BE"/>
    <w:rsid w:val="00BE4B7D"/>
    <w:rsid w:val="00BE4CBF"/>
    <w:rsid w:val="00BE5EC5"/>
    <w:rsid w:val="00BE60DB"/>
    <w:rsid w:val="00BE650A"/>
    <w:rsid w:val="00BE667D"/>
    <w:rsid w:val="00BE700C"/>
    <w:rsid w:val="00BE7034"/>
    <w:rsid w:val="00BE7694"/>
    <w:rsid w:val="00BE7942"/>
    <w:rsid w:val="00BE7AE8"/>
    <w:rsid w:val="00BE7E57"/>
    <w:rsid w:val="00BF02A9"/>
    <w:rsid w:val="00BF0CAE"/>
    <w:rsid w:val="00BF0CCA"/>
    <w:rsid w:val="00BF0FE9"/>
    <w:rsid w:val="00BF1540"/>
    <w:rsid w:val="00BF1A0B"/>
    <w:rsid w:val="00BF1C36"/>
    <w:rsid w:val="00BF236B"/>
    <w:rsid w:val="00BF28CE"/>
    <w:rsid w:val="00BF2C5F"/>
    <w:rsid w:val="00BF2EE8"/>
    <w:rsid w:val="00BF31AE"/>
    <w:rsid w:val="00BF31B0"/>
    <w:rsid w:val="00BF3462"/>
    <w:rsid w:val="00BF3690"/>
    <w:rsid w:val="00BF3886"/>
    <w:rsid w:val="00BF3A24"/>
    <w:rsid w:val="00BF3AF6"/>
    <w:rsid w:val="00BF3CC7"/>
    <w:rsid w:val="00BF44DD"/>
    <w:rsid w:val="00BF44F1"/>
    <w:rsid w:val="00BF4877"/>
    <w:rsid w:val="00BF5078"/>
    <w:rsid w:val="00BF5565"/>
    <w:rsid w:val="00BF57CA"/>
    <w:rsid w:val="00BF5B2D"/>
    <w:rsid w:val="00BF657A"/>
    <w:rsid w:val="00BF686C"/>
    <w:rsid w:val="00BF6948"/>
    <w:rsid w:val="00BF6E0F"/>
    <w:rsid w:val="00BF6F9B"/>
    <w:rsid w:val="00BF7219"/>
    <w:rsid w:val="00BF7538"/>
    <w:rsid w:val="00BF7FF4"/>
    <w:rsid w:val="00C00806"/>
    <w:rsid w:val="00C0082B"/>
    <w:rsid w:val="00C00B08"/>
    <w:rsid w:val="00C00C2F"/>
    <w:rsid w:val="00C01C42"/>
    <w:rsid w:val="00C026AF"/>
    <w:rsid w:val="00C02796"/>
    <w:rsid w:val="00C028DD"/>
    <w:rsid w:val="00C02E76"/>
    <w:rsid w:val="00C033D4"/>
    <w:rsid w:val="00C03694"/>
    <w:rsid w:val="00C03BA5"/>
    <w:rsid w:val="00C03D0A"/>
    <w:rsid w:val="00C04045"/>
    <w:rsid w:val="00C040F8"/>
    <w:rsid w:val="00C042E9"/>
    <w:rsid w:val="00C045FD"/>
    <w:rsid w:val="00C04732"/>
    <w:rsid w:val="00C04A35"/>
    <w:rsid w:val="00C055EA"/>
    <w:rsid w:val="00C0581E"/>
    <w:rsid w:val="00C06B89"/>
    <w:rsid w:val="00C06F02"/>
    <w:rsid w:val="00C07826"/>
    <w:rsid w:val="00C078EB"/>
    <w:rsid w:val="00C07B53"/>
    <w:rsid w:val="00C10188"/>
    <w:rsid w:val="00C10BDB"/>
    <w:rsid w:val="00C10FE0"/>
    <w:rsid w:val="00C11281"/>
    <w:rsid w:val="00C11521"/>
    <w:rsid w:val="00C11B6F"/>
    <w:rsid w:val="00C11F61"/>
    <w:rsid w:val="00C12536"/>
    <w:rsid w:val="00C125BD"/>
    <w:rsid w:val="00C1353F"/>
    <w:rsid w:val="00C137CD"/>
    <w:rsid w:val="00C13FC5"/>
    <w:rsid w:val="00C14218"/>
    <w:rsid w:val="00C1524C"/>
    <w:rsid w:val="00C156E7"/>
    <w:rsid w:val="00C1588F"/>
    <w:rsid w:val="00C1651D"/>
    <w:rsid w:val="00C16B84"/>
    <w:rsid w:val="00C16C6D"/>
    <w:rsid w:val="00C17A33"/>
    <w:rsid w:val="00C17D01"/>
    <w:rsid w:val="00C17FED"/>
    <w:rsid w:val="00C204CC"/>
    <w:rsid w:val="00C20874"/>
    <w:rsid w:val="00C209CD"/>
    <w:rsid w:val="00C20D50"/>
    <w:rsid w:val="00C210A6"/>
    <w:rsid w:val="00C2120A"/>
    <w:rsid w:val="00C21246"/>
    <w:rsid w:val="00C2175A"/>
    <w:rsid w:val="00C2184C"/>
    <w:rsid w:val="00C21FBD"/>
    <w:rsid w:val="00C22084"/>
    <w:rsid w:val="00C223DB"/>
    <w:rsid w:val="00C228F6"/>
    <w:rsid w:val="00C22B3C"/>
    <w:rsid w:val="00C22BD8"/>
    <w:rsid w:val="00C22CE3"/>
    <w:rsid w:val="00C22E4F"/>
    <w:rsid w:val="00C23155"/>
    <w:rsid w:val="00C234C1"/>
    <w:rsid w:val="00C23593"/>
    <w:rsid w:val="00C23B61"/>
    <w:rsid w:val="00C24848"/>
    <w:rsid w:val="00C248E5"/>
    <w:rsid w:val="00C25252"/>
    <w:rsid w:val="00C25493"/>
    <w:rsid w:val="00C261BD"/>
    <w:rsid w:val="00C2658D"/>
    <w:rsid w:val="00C26753"/>
    <w:rsid w:val="00C27F7C"/>
    <w:rsid w:val="00C3006B"/>
    <w:rsid w:val="00C3043B"/>
    <w:rsid w:val="00C3080A"/>
    <w:rsid w:val="00C30BBB"/>
    <w:rsid w:val="00C31190"/>
    <w:rsid w:val="00C31513"/>
    <w:rsid w:val="00C3151D"/>
    <w:rsid w:val="00C31540"/>
    <w:rsid w:val="00C31D36"/>
    <w:rsid w:val="00C320FF"/>
    <w:rsid w:val="00C32B6E"/>
    <w:rsid w:val="00C33095"/>
    <w:rsid w:val="00C332E0"/>
    <w:rsid w:val="00C33C21"/>
    <w:rsid w:val="00C33EFF"/>
    <w:rsid w:val="00C34295"/>
    <w:rsid w:val="00C34646"/>
    <w:rsid w:val="00C34F88"/>
    <w:rsid w:val="00C34FCA"/>
    <w:rsid w:val="00C357B0"/>
    <w:rsid w:val="00C3588E"/>
    <w:rsid w:val="00C35932"/>
    <w:rsid w:val="00C35C10"/>
    <w:rsid w:val="00C3603C"/>
    <w:rsid w:val="00C36040"/>
    <w:rsid w:val="00C36708"/>
    <w:rsid w:val="00C36BA3"/>
    <w:rsid w:val="00C36EEE"/>
    <w:rsid w:val="00C36EFC"/>
    <w:rsid w:val="00C37359"/>
    <w:rsid w:val="00C37A3F"/>
    <w:rsid w:val="00C37C60"/>
    <w:rsid w:val="00C37F96"/>
    <w:rsid w:val="00C4014F"/>
    <w:rsid w:val="00C40571"/>
    <w:rsid w:val="00C410B9"/>
    <w:rsid w:val="00C4115B"/>
    <w:rsid w:val="00C418B7"/>
    <w:rsid w:val="00C426BD"/>
    <w:rsid w:val="00C42823"/>
    <w:rsid w:val="00C42B50"/>
    <w:rsid w:val="00C42FE8"/>
    <w:rsid w:val="00C433CF"/>
    <w:rsid w:val="00C43714"/>
    <w:rsid w:val="00C439BF"/>
    <w:rsid w:val="00C43AA2"/>
    <w:rsid w:val="00C440A6"/>
    <w:rsid w:val="00C44482"/>
    <w:rsid w:val="00C44522"/>
    <w:rsid w:val="00C44810"/>
    <w:rsid w:val="00C44E4A"/>
    <w:rsid w:val="00C45B6F"/>
    <w:rsid w:val="00C46A1A"/>
    <w:rsid w:val="00C46BC8"/>
    <w:rsid w:val="00C477FB"/>
    <w:rsid w:val="00C505C5"/>
    <w:rsid w:val="00C50711"/>
    <w:rsid w:val="00C507C1"/>
    <w:rsid w:val="00C50E67"/>
    <w:rsid w:val="00C5125C"/>
    <w:rsid w:val="00C513AA"/>
    <w:rsid w:val="00C5168B"/>
    <w:rsid w:val="00C51998"/>
    <w:rsid w:val="00C519FB"/>
    <w:rsid w:val="00C51A2D"/>
    <w:rsid w:val="00C51A3B"/>
    <w:rsid w:val="00C5230A"/>
    <w:rsid w:val="00C52583"/>
    <w:rsid w:val="00C52E28"/>
    <w:rsid w:val="00C52F06"/>
    <w:rsid w:val="00C53B05"/>
    <w:rsid w:val="00C53BE3"/>
    <w:rsid w:val="00C540B5"/>
    <w:rsid w:val="00C54667"/>
    <w:rsid w:val="00C547F7"/>
    <w:rsid w:val="00C54929"/>
    <w:rsid w:val="00C55A44"/>
    <w:rsid w:val="00C566C5"/>
    <w:rsid w:val="00C57374"/>
    <w:rsid w:val="00C57480"/>
    <w:rsid w:val="00C5749B"/>
    <w:rsid w:val="00C575B0"/>
    <w:rsid w:val="00C57608"/>
    <w:rsid w:val="00C57749"/>
    <w:rsid w:val="00C57A5B"/>
    <w:rsid w:val="00C57A62"/>
    <w:rsid w:val="00C57AAE"/>
    <w:rsid w:val="00C57D0E"/>
    <w:rsid w:val="00C57FFA"/>
    <w:rsid w:val="00C6005D"/>
    <w:rsid w:val="00C604A5"/>
    <w:rsid w:val="00C60C5E"/>
    <w:rsid w:val="00C60EA5"/>
    <w:rsid w:val="00C60F47"/>
    <w:rsid w:val="00C60F5C"/>
    <w:rsid w:val="00C6165D"/>
    <w:rsid w:val="00C617E0"/>
    <w:rsid w:val="00C6183A"/>
    <w:rsid w:val="00C61999"/>
    <w:rsid w:val="00C61C18"/>
    <w:rsid w:val="00C624AB"/>
    <w:rsid w:val="00C626C7"/>
    <w:rsid w:val="00C628A6"/>
    <w:rsid w:val="00C629C1"/>
    <w:rsid w:val="00C62A29"/>
    <w:rsid w:val="00C6345F"/>
    <w:rsid w:val="00C63C33"/>
    <w:rsid w:val="00C63EB3"/>
    <w:rsid w:val="00C64282"/>
    <w:rsid w:val="00C646A4"/>
    <w:rsid w:val="00C65176"/>
    <w:rsid w:val="00C6648C"/>
    <w:rsid w:val="00C6654E"/>
    <w:rsid w:val="00C66A22"/>
    <w:rsid w:val="00C66F10"/>
    <w:rsid w:val="00C67DD2"/>
    <w:rsid w:val="00C7045F"/>
    <w:rsid w:val="00C70836"/>
    <w:rsid w:val="00C70A44"/>
    <w:rsid w:val="00C70F10"/>
    <w:rsid w:val="00C72579"/>
    <w:rsid w:val="00C72AD7"/>
    <w:rsid w:val="00C72ED8"/>
    <w:rsid w:val="00C7369D"/>
    <w:rsid w:val="00C73952"/>
    <w:rsid w:val="00C73A71"/>
    <w:rsid w:val="00C74007"/>
    <w:rsid w:val="00C741E4"/>
    <w:rsid w:val="00C745C7"/>
    <w:rsid w:val="00C746EE"/>
    <w:rsid w:val="00C74708"/>
    <w:rsid w:val="00C7549C"/>
    <w:rsid w:val="00C755FD"/>
    <w:rsid w:val="00C75C6C"/>
    <w:rsid w:val="00C762B8"/>
    <w:rsid w:val="00C765A3"/>
    <w:rsid w:val="00C76B5A"/>
    <w:rsid w:val="00C77619"/>
    <w:rsid w:val="00C776E6"/>
    <w:rsid w:val="00C77F78"/>
    <w:rsid w:val="00C77F8C"/>
    <w:rsid w:val="00C8006B"/>
    <w:rsid w:val="00C8027D"/>
    <w:rsid w:val="00C80C9C"/>
    <w:rsid w:val="00C8162B"/>
    <w:rsid w:val="00C8170A"/>
    <w:rsid w:val="00C81845"/>
    <w:rsid w:val="00C81A4D"/>
    <w:rsid w:val="00C81FC8"/>
    <w:rsid w:val="00C8233B"/>
    <w:rsid w:val="00C823B6"/>
    <w:rsid w:val="00C828AF"/>
    <w:rsid w:val="00C828F9"/>
    <w:rsid w:val="00C82AA2"/>
    <w:rsid w:val="00C82CA6"/>
    <w:rsid w:val="00C82DEB"/>
    <w:rsid w:val="00C83011"/>
    <w:rsid w:val="00C83791"/>
    <w:rsid w:val="00C83878"/>
    <w:rsid w:val="00C83C85"/>
    <w:rsid w:val="00C83D1B"/>
    <w:rsid w:val="00C84328"/>
    <w:rsid w:val="00C84604"/>
    <w:rsid w:val="00C84A7A"/>
    <w:rsid w:val="00C84E3E"/>
    <w:rsid w:val="00C85227"/>
    <w:rsid w:val="00C855C5"/>
    <w:rsid w:val="00C858BD"/>
    <w:rsid w:val="00C859AB"/>
    <w:rsid w:val="00C85DB5"/>
    <w:rsid w:val="00C85F62"/>
    <w:rsid w:val="00C85FAC"/>
    <w:rsid w:val="00C86997"/>
    <w:rsid w:val="00C869C1"/>
    <w:rsid w:val="00C86C53"/>
    <w:rsid w:val="00C870AC"/>
    <w:rsid w:val="00C8722A"/>
    <w:rsid w:val="00C878C0"/>
    <w:rsid w:val="00C90199"/>
    <w:rsid w:val="00C902BB"/>
    <w:rsid w:val="00C90437"/>
    <w:rsid w:val="00C9108F"/>
    <w:rsid w:val="00C911DD"/>
    <w:rsid w:val="00C91788"/>
    <w:rsid w:val="00C91939"/>
    <w:rsid w:val="00C91969"/>
    <w:rsid w:val="00C91A7E"/>
    <w:rsid w:val="00C91E5C"/>
    <w:rsid w:val="00C92323"/>
    <w:rsid w:val="00C92553"/>
    <w:rsid w:val="00C9297B"/>
    <w:rsid w:val="00C92AFA"/>
    <w:rsid w:val="00C933D5"/>
    <w:rsid w:val="00C934D7"/>
    <w:rsid w:val="00C93775"/>
    <w:rsid w:val="00C93A5B"/>
    <w:rsid w:val="00C93DE7"/>
    <w:rsid w:val="00C94046"/>
    <w:rsid w:val="00C94627"/>
    <w:rsid w:val="00C949F6"/>
    <w:rsid w:val="00C94CE8"/>
    <w:rsid w:val="00C94E75"/>
    <w:rsid w:val="00C94F65"/>
    <w:rsid w:val="00C94FD1"/>
    <w:rsid w:val="00C94FE5"/>
    <w:rsid w:val="00C9527E"/>
    <w:rsid w:val="00C958C4"/>
    <w:rsid w:val="00C95B96"/>
    <w:rsid w:val="00C95BE6"/>
    <w:rsid w:val="00C95CB6"/>
    <w:rsid w:val="00C95EFE"/>
    <w:rsid w:val="00C960D4"/>
    <w:rsid w:val="00C963DB"/>
    <w:rsid w:val="00C9653F"/>
    <w:rsid w:val="00C96543"/>
    <w:rsid w:val="00C96787"/>
    <w:rsid w:val="00C970A7"/>
    <w:rsid w:val="00C970E2"/>
    <w:rsid w:val="00C973BD"/>
    <w:rsid w:val="00C973E8"/>
    <w:rsid w:val="00C97682"/>
    <w:rsid w:val="00C97744"/>
    <w:rsid w:val="00C979AA"/>
    <w:rsid w:val="00C97CB8"/>
    <w:rsid w:val="00CA0373"/>
    <w:rsid w:val="00CA0556"/>
    <w:rsid w:val="00CA12B1"/>
    <w:rsid w:val="00CA152C"/>
    <w:rsid w:val="00CA15B9"/>
    <w:rsid w:val="00CA1836"/>
    <w:rsid w:val="00CA1890"/>
    <w:rsid w:val="00CA1B41"/>
    <w:rsid w:val="00CA1D0E"/>
    <w:rsid w:val="00CA2391"/>
    <w:rsid w:val="00CA243F"/>
    <w:rsid w:val="00CA2CB5"/>
    <w:rsid w:val="00CA3785"/>
    <w:rsid w:val="00CA3865"/>
    <w:rsid w:val="00CA3AC7"/>
    <w:rsid w:val="00CA3AE9"/>
    <w:rsid w:val="00CA45B1"/>
    <w:rsid w:val="00CA476C"/>
    <w:rsid w:val="00CA477C"/>
    <w:rsid w:val="00CA5071"/>
    <w:rsid w:val="00CA521C"/>
    <w:rsid w:val="00CA5343"/>
    <w:rsid w:val="00CA593C"/>
    <w:rsid w:val="00CA5F35"/>
    <w:rsid w:val="00CA5F3B"/>
    <w:rsid w:val="00CA5FBA"/>
    <w:rsid w:val="00CA61B0"/>
    <w:rsid w:val="00CA6CBD"/>
    <w:rsid w:val="00CA6D8C"/>
    <w:rsid w:val="00CA7564"/>
    <w:rsid w:val="00CA75A5"/>
    <w:rsid w:val="00CA7BD4"/>
    <w:rsid w:val="00CB06E3"/>
    <w:rsid w:val="00CB0BD0"/>
    <w:rsid w:val="00CB0D4E"/>
    <w:rsid w:val="00CB1964"/>
    <w:rsid w:val="00CB196E"/>
    <w:rsid w:val="00CB2224"/>
    <w:rsid w:val="00CB231D"/>
    <w:rsid w:val="00CB232A"/>
    <w:rsid w:val="00CB24B1"/>
    <w:rsid w:val="00CB2515"/>
    <w:rsid w:val="00CB33E6"/>
    <w:rsid w:val="00CB39D1"/>
    <w:rsid w:val="00CB3F2C"/>
    <w:rsid w:val="00CB488C"/>
    <w:rsid w:val="00CB5363"/>
    <w:rsid w:val="00CB5704"/>
    <w:rsid w:val="00CB5833"/>
    <w:rsid w:val="00CB5B65"/>
    <w:rsid w:val="00CB602E"/>
    <w:rsid w:val="00CB6163"/>
    <w:rsid w:val="00CB62C3"/>
    <w:rsid w:val="00CB62F3"/>
    <w:rsid w:val="00CB65B6"/>
    <w:rsid w:val="00CB6B29"/>
    <w:rsid w:val="00CB6EA7"/>
    <w:rsid w:val="00CB73D6"/>
    <w:rsid w:val="00CB73E1"/>
    <w:rsid w:val="00CB74BF"/>
    <w:rsid w:val="00CB7B9B"/>
    <w:rsid w:val="00CB7D2D"/>
    <w:rsid w:val="00CB7FA9"/>
    <w:rsid w:val="00CC0F76"/>
    <w:rsid w:val="00CC1183"/>
    <w:rsid w:val="00CC127A"/>
    <w:rsid w:val="00CC391B"/>
    <w:rsid w:val="00CC4DAC"/>
    <w:rsid w:val="00CC51C0"/>
    <w:rsid w:val="00CC5376"/>
    <w:rsid w:val="00CC618D"/>
    <w:rsid w:val="00CC63AB"/>
    <w:rsid w:val="00CC6823"/>
    <w:rsid w:val="00CC6EE1"/>
    <w:rsid w:val="00CC73F5"/>
    <w:rsid w:val="00CC7749"/>
    <w:rsid w:val="00CC788B"/>
    <w:rsid w:val="00CD05E5"/>
    <w:rsid w:val="00CD0F16"/>
    <w:rsid w:val="00CD105D"/>
    <w:rsid w:val="00CD146A"/>
    <w:rsid w:val="00CD16AD"/>
    <w:rsid w:val="00CD1932"/>
    <w:rsid w:val="00CD1A17"/>
    <w:rsid w:val="00CD1B0E"/>
    <w:rsid w:val="00CD2118"/>
    <w:rsid w:val="00CD21B9"/>
    <w:rsid w:val="00CD2254"/>
    <w:rsid w:val="00CD243A"/>
    <w:rsid w:val="00CD2A42"/>
    <w:rsid w:val="00CD2D6C"/>
    <w:rsid w:val="00CD3C9A"/>
    <w:rsid w:val="00CD3EDE"/>
    <w:rsid w:val="00CD438B"/>
    <w:rsid w:val="00CD463D"/>
    <w:rsid w:val="00CD4805"/>
    <w:rsid w:val="00CD5495"/>
    <w:rsid w:val="00CD57FA"/>
    <w:rsid w:val="00CD5A6C"/>
    <w:rsid w:val="00CD5DED"/>
    <w:rsid w:val="00CD6CE1"/>
    <w:rsid w:val="00CD6FAE"/>
    <w:rsid w:val="00CD736D"/>
    <w:rsid w:val="00CD7AC9"/>
    <w:rsid w:val="00CD7AFD"/>
    <w:rsid w:val="00CE00EE"/>
    <w:rsid w:val="00CE01AB"/>
    <w:rsid w:val="00CE02E1"/>
    <w:rsid w:val="00CE05CE"/>
    <w:rsid w:val="00CE099C"/>
    <w:rsid w:val="00CE0A5C"/>
    <w:rsid w:val="00CE0B19"/>
    <w:rsid w:val="00CE0F80"/>
    <w:rsid w:val="00CE122E"/>
    <w:rsid w:val="00CE138E"/>
    <w:rsid w:val="00CE19DE"/>
    <w:rsid w:val="00CE1C45"/>
    <w:rsid w:val="00CE30A1"/>
    <w:rsid w:val="00CE42B3"/>
    <w:rsid w:val="00CE47C5"/>
    <w:rsid w:val="00CE47C8"/>
    <w:rsid w:val="00CE54EB"/>
    <w:rsid w:val="00CE557A"/>
    <w:rsid w:val="00CE5792"/>
    <w:rsid w:val="00CE5839"/>
    <w:rsid w:val="00CE641A"/>
    <w:rsid w:val="00CE6623"/>
    <w:rsid w:val="00CE69E9"/>
    <w:rsid w:val="00CE6A62"/>
    <w:rsid w:val="00CE6B05"/>
    <w:rsid w:val="00CE6CB3"/>
    <w:rsid w:val="00CE6FC7"/>
    <w:rsid w:val="00CE7826"/>
    <w:rsid w:val="00CE79ED"/>
    <w:rsid w:val="00CE7CF0"/>
    <w:rsid w:val="00CE7FDD"/>
    <w:rsid w:val="00CF01AE"/>
    <w:rsid w:val="00CF03CF"/>
    <w:rsid w:val="00CF0B9D"/>
    <w:rsid w:val="00CF0DBF"/>
    <w:rsid w:val="00CF0EFD"/>
    <w:rsid w:val="00CF151E"/>
    <w:rsid w:val="00CF2513"/>
    <w:rsid w:val="00CF2619"/>
    <w:rsid w:val="00CF2849"/>
    <w:rsid w:val="00CF2900"/>
    <w:rsid w:val="00CF2B9C"/>
    <w:rsid w:val="00CF3520"/>
    <w:rsid w:val="00CF354E"/>
    <w:rsid w:val="00CF38FC"/>
    <w:rsid w:val="00CF3A73"/>
    <w:rsid w:val="00CF3D57"/>
    <w:rsid w:val="00CF4099"/>
    <w:rsid w:val="00CF450B"/>
    <w:rsid w:val="00CF4A94"/>
    <w:rsid w:val="00CF4BA1"/>
    <w:rsid w:val="00CF4D30"/>
    <w:rsid w:val="00CF4FB1"/>
    <w:rsid w:val="00CF5118"/>
    <w:rsid w:val="00CF53F0"/>
    <w:rsid w:val="00CF5A3E"/>
    <w:rsid w:val="00CF5A55"/>
    <w:rsid w:val="00CF5D3B"/>
    <w:rsid w:val="00CF5DD1"/>
    <w:rsid w:val="00CF6719"/>
    <w:rsid w:val="00CF717A"/>
    <w:rsid w:val="00CF73EE"/>
    <w:rsid w:val="00CF75BF"/>
    <w:rsid w:val="00CF7E85"/>
    <w:rsid w:val="00D009EC"/>
    <w:rsid w:val="00D00C8B"/>
    <w:rsid w:val="00D01469"/>
    <w:rsid w:val="00D01B37"/>
    <w:rsid w:val="00D02ADF"/>
    <w:rsid w:val="00D02B0C"/>
    <w:rsid w:val="00D03CBD"/>
    <w:rsid w:val="00D041B3"/>
    <w:rsid w:val="00D0425E"/>
    <w:rsid w:val="00D04295"/>
    <w:rsid w:val="00D0438C"/>
    <w:rsid w:val="00D04A16"/>
    <w:rsid w:val="00D0544E"/>
    <w:rsid w:val="00D055AD"/>
    <w:rsid w:val="00D05A33"/>
    <w:rsid w:val="00D05E94"/>
    <w:rsid w:val="00D05F42"/>
    <w:rsid w:val="00D061BA"/>
    <w:rsid w:val="00D06CAC"/>
    <w:rsid w:val="00D06CD9"/>
    <w:rsid w:val="00D06E0D"/>
    <w:rsid w:val="00D07531"/>
    <w:rsid w:val="00D0763D"/>
    <w:rsid w:val="00D07AC4"/>
    <w:rsid w:val="00D07C4E"/>
    <w:rsid w:val="00D10462"/>
    <w:rsid w:val="00D104FC"/>
    <w:rsid w:val="00D106BE"/>
    <w:rsid w:val="00D10E6C"/>
    <w:rsid w:val="00D11F95"/>
    <w:rsid w:val="00D12270"/>
    <w:rsid w:val="00D13583"/>
    <w:rsid w:val="00D14705"/>
    <w:rsid w:val="00D1473D"/>
    <w:rsid w:val="00D150F9"/>
    <w:rsid w:val="00D15DCC"/>
    <w:rsid w:val="00D1679C"/>
    <w:rsid w:val="00D16D0C"/>
    <w:rsid w:val="00D170CA"/>
    <w:rsid w:val="00D175D3"/>
    <w:rsid w:val="00D178BB"/>
    <w:rsid w:val="00D17BE1"/>
    <w:rsid w:val="00D17E6F"/>
    <w:rsid w:val="00D20519"/>
    <w:rsid w:val="00D20689"/>
    <w:rsid w:val="00D209F4"/>
    <w:rsid w:val="00D21193"/>
    <w:rsid w:val="00D21B70"/>
    <w:rsid w:val="00D21F60"/>
    <w:rsid w:val="00D221AC"/>
    <w:rsid w:val="00D223AB"/>
    <w:rsid w:val="00D22675"/>
    <w:rsid w:val="00D228AF"/>
    <w:rsid w:val="00D228B7"/>
    <w:rsid w:val="00D2360B"/>
    <w:rsid w:val="00D23CED"/>
    <w:rsid w:val="00D23E11"/>
    <w:rsid w:val="00D24937"/>
    <w:rsid w:val="00D259C9"/>
    <w:rsid w:val="00D25AD9"/>
    <w:rsid w:val="00D25F4D"/>
    <w:rsid w:val="00D2690D"/>
    <w:rsid w:val="00D271EA"/>
    <w:rsid w:val="00D27272"/>
    <w:rsid w:val="00D27339"/>
    <w:rsid w:val="00D27C1E"/>
    <w:rsid w:val="00D27DE4"/>
    <w:rsid w:val="00D27F9C"/>
    <w:rsid w:val="00D30049"/>
    <w:rsid w:val="00D30112"/>
    <w:rsid w:val="00D3058F"/>
    <w:rsid w:val="00D31402"/>
    <w:rsid w:val="00D317FC"/>
    <w:rsid w:val="00D31BB9"/>
    <w:rsid w:val="00D32989"/>
    <w:rsid w:val="00D332C0"/>
    <w:rsid w:val="00D33589"/>
    <w:rsid w:val="00D33A7E"/>
    <w:rsid w:val="00D33B35"/>
    <w:rsid w:val="00D33E98"/>
    <w:rsid w:val="00D34010"/>
    <w:rsid w:val="00D3519C"/>
    <w:rsid w:val="00D35645"/>
    <w:rsid w:val="00D356FF"/>
    <w:rsid w:val="00D359C6"/>
    <w:rsid w:val="00D359F6"/>
    <w:rsid w:val="00D3611E"/>
    <w:rsid w:val="00D364DC"/>
    <w:rsid w:val="00D36587"/>
    <w:rsid w:val="00D36F6E"/>
    <w:rsid w:val="00D36FE7"/>
    <w:rsid w:val="00D370CF"/>
    <w:rsid w:val="00D4012A"/>
    <w:rsid w:val="00D40DDB"/>
    <w:rsid w:val="00D42131"/>
    <w:rsid w:val="00D42B57"/>
    <w:rsid w:val="00D42BE9"/>
    <w:rsid w:val="00D42C9B"/>
    <w:rsid w:val="00D42D93"/>
    <w:rsid w:val="00D43420"/>
    <w:rsid w:val="00D434CF"/>
    <w:rsid w:val="00D43758"/>
    <w:rsid w:val="00D4436A"/>
    <w:rsid w:val="00D44712"/>
    <w:rsid w:val="00D452D3"/>
    <w:rsid w:val="00D455DD"/>
    <w:rsid w:val="00D459B3"/>
    <w:rsid w:val="00D45CAA"/>
    <w:rsid w:val="00D46A55"/>
    <w:rsid w:val="00D4743E"/>
    <w:rsid w:val="00D4760C"/>
    <w:rsid w:val="00D47624"/>
    <w:rsid w:val="00D50513"/>
    <w:rsid w:val="00D50CE4"/>
    <w:rsid w:val="00D50FF6"/>
    <w:rsid w:val="00D511AE"/>
    <w:rsid w:val="00D51365"/>
    <w:rsid w:val="00D517C6"/>
    <w:rsid w:val="00D51C6C"/>
    <w:rsid w:val="00D52727"/>
    <w:rsid w:val="00D534DC"/>
    <w:rsid w:val="00D53BEC"/>
    <w:rsid w:val="00D5493B"/>
    <w:rsid w:val="00D54C2C"/>
    <w:rsid w:val="00D55782"/>
    <w:rsid w:val="00D55925"/>
    <w:rsid w:val="00D559A3"/>
    <w:rsid w:val="00D55AF2"/>
    <w:rsid w:val="00D55B9B"/>
    <w:rsid w:val="00D55BD3"/>
    <w:rsid w:val="00D560DF"/>
    <w:rsid w:val="00D56154"/>
    <w:rsid w:val="00D569D6"/>
    <w:rsid w:val="00D56B15"/>
    <w:rsid w:val="00D572A0"/>
    <w:rsid w:val="00D57BD4"/>
    <w:rsid w:val="00D61181"/>
    <w:rsid w:val="00D613B1"/>
    <w:rsid w:val="00D61616"/>
    <w:rsid w:val="00D617CB"/>
    <w:rsid w:val="00D6184E"/>
    <w:rsid w:val="00D6185B"/>
    <w:rsid w:val="00D6193C"/>
    <w:rsid w:val="00D619AB"/>
    <w:rsid w:val="00D61BE8"/>
    <w:rsid w:val="00D620EC"/>
    <w:rsid w:val="00D6219F"/>
    <w:rsid w:val="00D6274A"/>
    <w:rsid w:val="00D62897"/>
    <w:rsid w:val="00D62B6F"/>
    <w:rsid w:val="00D6344C"/>
    <w:rsid w:val="00D6357A"/>
    <w:rsid w:val="00D6384B"/>
    <w:rsid w:val="00D640E5"/>
    <w:rsid w:val="00D643B5"/>
    <w:rsid w:val="00D647F7"/>
    <w:rsid w:val="00D64C58"/>
    <w:rsid w:val="00D65469"/>
    <w:rsid w:val="00D65DB5"/>
    <w:rsid w:val="00D65DEE"/>
    <w:rsid w:val="00D66809"/>
    <w:rsid w:val="00D6687A"/>
    <w:rsid w:val="00D672B3"/>
    <w:rsid w:val="00D67378"/>
    <w:rsid w:val="00D675BE"/>
    <w:rsid w:val="00D70F15"/>
    <w:rsid w:val="00D71293"/>
    <w:rsid w:val="00D71C58"/>
    <w:rsid w:val="00D71DD4"/>
    <w:rsid w:val="00D7203D"/>
    <w:rsid w:val="00D722D5"/>
    <w:rsid w:val="00D72749"/>
    <w:rsid w:val="00D7278E"/>
    <w:rsid w:val="00D72B09"/>
    <w:rsid w:val="00D72C5A"/>
    <w:rsid w:val="00D72E61"/>
    <w:rsid w:val="00D72FA6"/>
    <w:rsid w:val="00D732C3"/>
    <w:rsid w:val="00D73952"/>
    <w:rsid w:val="00D73FA2"/>
    <w:rsid w:val="00D747F9"/>
    <w:rsid w:val="00D75080"/>
    <w:rsid w:val="00D753A9"/>
    <w:rsid w:val="00D75810"/>
    <w:rsid w:val="00D75D7A"/>
    <w:rsid w:val="00D7603F"/>
    <w:rsid w:val="00D76585"/>
    <w:rsid w:val="00D76763"/>
    <w:rsid w:val="00D76B74"/>
    <w:rsid w:val="00D76B84"/>
    <w:rsid w:val="00D76DF8"/>
    <w:rsid w:val="00D773E0"/>
    <w:rsid w:val="00D77BC1"/>
    <w:rsid w:val="00D8035C"/>
    <w:rsid w:val="00D80EB5"/>
    <w:rsid w:val="00D81041"/>
    <w:rsid w:val="00D811B0"/>
    <w:rsid w:val="00D81200"/>
    <w:rsid w:val="00D813CB"/>
    <w:rsid w:val="00D81A1D"/>
    <w:rsid w:val="00D81C5C"/>
    <w:rsid w:val="00D82838"/>
    <w:rsid w:val="00D82B22"/>
    <w:rsid w:val="00D82F46"/>
    <w:rsid w:val="00D830E1"/>
    <w:rsid w:val="00D83A90"/>
    <w:rsid w:val="00D842AA"/>
    <w:rsid w:val="00D845D8"/>
    <w:rsid w:val="00D846BE"/>
    <w:rsid w:val="00D848C0"/>
    <w:rsid w:val="00D84DF9"/>
    <w:rsid w:val="00D85293"/>
    <w:rsid w:val="00D852E2"/>
    <w:rsid w:val="00D85809"/>
    <w:rsid w:val="00D85EB4"/>
    <w:rsid w:val="00D865EC"/>
    <w:rsid w:val="00D86977"/>
    <w:rsid w:val="00D87258"/>
    <w:rsid w:val="00D874EF"/>
    <w:rsid w:val="00D877B6"/>
    <w:rsid w:val="00D879D4"/>
    <w:rsid w:val="00D91CE2"/>
    <w:rsid w:val="00D92ECE"/>
    <w:rsid w:val="00D93212"/>
    <w:rsid w:val="00D93870"/>
    <w:rsid w:val="00D939A8"/>
    <w:rsid w:val="00D94043"/>
    <w:rsid w:val="00D940A1"/>
    <w:rsid w:val="00D9490C"/>
    <w:rsid w:val="00D94A6F"/>
    <w:rsid w:val="00D94DBF"/>
    <w:rsid w:val="00D951EB"/>
    <w:rsid w:val="00D954E0"/>
    <w:rsid w:val="00D95581"/>
    <w:rsid w:val="00D9583E"/>
    <w:rsid w:val="00D960F5"/>
    <w:rsid w:val="00D96B17"/>
    <w:rsid w:val="00D96D60"/>
    <w:rsid w:val="00D96DAF"/>
    <w:rsid w:val="00D96EAC"/>
    <w:rsid w:val="00D97396"/>
    <w:rsid w:val="00D97C40"/>
    <w:rsid w:val="00DA005A"/>
    <w:rsid w:val="00DA0563"/>
    <w:rsid w:val="00DA0F07"/>
    <w:rsid w:val="00DA13C1"/>
    <w:rsid w:val="00DA1535"/>
    <w:rsid w:val="00DA171E"/>
    <w:rsid w:val="00DA1B4E"/>
    <w:rsid w:val="00DA1CBC"/>
    <w:rsid w:val="00DA2534"/>
    <w:rsid w:val="00DA27EA"/>
    <w:rsid w:val="00DA35D1"/>
    <w:rsid w:val="00DA39B4"/>
    <w:rsid w:val="00DA3EEA"/>
    <w:rsid w:val="00DA3FE3"/>
    <w:rsid w:val="00DA41C8"/>
    <w:rsid w:val="00DA4848"/>
    <w:rsid w:val="00DA4B5A"/>
    <w:rsid w:val="00DA55A1"/>
    <w:rsid w:val="00DA5831"/>
    <w:rsid w:val="00DA5B0A"/>
    <w:rsid w:val="00DA5B2E"/>
    <w:rsid w:val="00DA5C12"/>
    <w:rsid w:val="00DA5FAF"/>
    <w:rsid w:val="00DA6C53"/>
    <w:rsid w:val="00DA70CE"/>
    <w:rsid w:val="00DA7314"/>
    <w:rsid w:val="00DA7C7B"/>
    <w:rsid w:val="00DA7CDB"/>
    <w:rsid w:val="00DA7EE9"/>
    <w:rsid w:val="00DA7F7E"/>
    <w:rsid w:val="00DB074F"/>
    <w:rsid w:val="00DB0C12"/>
    <w:rsid w:val="00DB1360"/>
    <w:rsid w:val="00DB13F6"/>
    <w:rsid w:val="00DB1649"/>
    <w:rsid w:val="00DB1950"/>
    <w:rsid w:val="00DB1B7E"/>
    <w:rsid w:val="00DB1CD7"/>
    <w:rsid w:val="00DB1ED0"/>
    <w:rsid w:val="00DB2377"/>
    <w:rsid w:val="00DB25AD"/>
    <w:rsid w:val="00DB262D"/>
    <w:rsid w:val="00DB26AD"/>
    <w:rsid w:val="00DB2F19"/>
    <w:rsid w:val="00DB3436"/>
    <w:rsid w:val="00DB366E"/>
    <w:rsid w:val="00DB3B5B"/>
    <w:rsid w:val="00DB404F"/>
    <w:rsid w:val="00DB43F1"/>
    <w:rsid w:val="00DB45F9"/>
    <w:rsid w:val="00DB4638"/>
    <w:rsid w:val="00DB47AD"/>
    <w:rsid w:val="00DB47CE"/>
    <w:rsid w:val="00DB4AAA"/>
    <w:rsid w:val="00DB4B59"/>
    <w:rsid w:val="00DB4CFE"/>
    <w:rsid w:val="00DB4EAC"/>
    <w:rsid w:val="00DB5BAE"/>
    <w:rsid w:val="00DB5C38"/>
    <w:rsid w:val="00DB671E"/>
    <w:rsid w:val="00DB6A8F"/>
    <w:rsid w:val="00DB6D0C"/>
    <w:rsid w:val="00DB712D"/>
    <w:rsid w:val="00DB7430"/>
    <w:rsid w:val="00DB7754"/>
    <w:rsid w:val="00DB7956"/>
    <w:rsid w:val="00DC00CD"/>
    <w:rsid w:val="00DC025E"/>
    <w:rsid w:val="00DC02DE"/>
    <w:rsid w:val="00DC0356"/>
    <w:rsid w:val="00DC055D"/>
    <w:rsid w:val="00DC05B9"/>
    <w:rsid w:val="00DC05DA"/>
    <w:rsid w:val="00DC05E1"/>
    <w:rsid w:val="00DC09E5"/>
    <w:rsid w:val="00DC0A50"/>
    <w:rsid w:val="00DC0A97"/>
    <w:rsid w:val="00DC1B3D"/>
    <w:rsid w:val="00DC1C88"/>
    <w:rsid w:val="00DC1D34"/>
    <w:rsid w:val="00DC201F"/>
    <w:rsid w:val="00DC2098"/>
    <w:rsid w:val="00DC23BB"/>
    <w:rsid w:val="00DC2682"/>
    <w:rsid w:val="00DC3257"/>
    <w:rsid w:val="00DC4B6F"/>
    <w:rsid w:val="00DC583C"/>
    <w:rsid w:val="00DC5C49"/>
    <w:rsid w:val="00DC685B"/>
    <w:rsid w:val="00DC6A1A"/>
    <w:rsid w:val="00DC6C38"/>
    <w:rsid w:val="00DC6F8C"/>
    <w:rsid w:val="00DC7214"/>
    <w:rsid w:val="00DC742E"/>
    <w:rsid w:val="00DC7684"/>
    <w:rsid w:val="00DC794C"/>
    <w:rsid w:val="00DC79F2"/>
    <w:rsid w:val="00DC7C87"/>
    <w:rsid w:val="00DC7D54"/>
    <w:rsid w:val="00DC7E9C"/>
    <w:rsid w:val="00DC7F29"/>
    <w:rsid w:val="00DC7F79"/>
    <w:rsid w:val="00DD0233"/>
    <w:rsid w:val="00DD02CB"/>
    <w:rsid w:val="00DD07BB"/>
    <w:rsid w:val="00DD0AF3"/>
    <w:rsid w:val="00DD0C6B"/>
    <w:rsid w:val="00DD1115"/>
    <w:rsid w:val="00DD121B"/>
    <w:rsid w:val="00DD162E"/>
    <w:rsid w:val="00DD1AC3"/>
    <w:rsid w:val="00DD1B0B"/>
    <w:rsid w:val="00DD268E"/>
    <w:rsid w:val="00DD26ED"/>
    <w:rsid w:val="00DD2848"/>
    <w:rsid w:val="00DD28C5"/>
    <w:rsid w:val="00DD2C62"/>
    <w:rsid w:val="00DD2F45"/>
    <w:rsid w:val="00DD30E2"/>
    <w:rsid w:val="00DD369B"/>
    <w:rsid w:val="00DD3892"/>
    <w:rsid w:val="00DD3A2C"/>
    <w:rsid w:val="00DD411C"/>
    <w:rsid w:val="00DD4445"/>
    <w:rsid w:val="00DD4778"/>
    <w:rsid w:val="00DD4B3D"/>
    <w:rsid w:val="00DD52DE"/>
    <w:rsid w:val="00DD543B"/>
    <w:rsid w:val="00DD5DA2"/>
    <w:rsid w:val="00DD5EA9"/>
    <w:rsid w:val="00DD62CC"/>
    <w:rsid w:val="00DD65C4"/>
    <w:rsid w:val="00DD66C6"/>
    <w:rsid w:val="00DD684E"/>
    <w:rsid w:val="00DD6B19"/>
    <w:rsid w:val="00DD70E8"/>
    <w:rsid w:val="00DD7149"/>
    <w:rsid w:val="00DD7EF9"/>
    <w:rsid w:val="00DD7F68"/>
    <w:rsid w:val="00DE0088"/>
    <w:rsid w:val="00DE0950"/>
    <w:rsid w:val="00DE0B75"/>
    <w:rsid w:val="00DE1DE3"/>
    <w:rsid w:val="00DE1E3B"/>
    <w:rsid w:val="00DE239D"/>
    <w:rsid w:val="00DE245C"/>
    <w:rsid w:val="00DE2E6E"/>
    <w:rsid w:val="00DE311F"/>
    <w:rsid w:val="00DE347C"/>
    <w:rsid w:val="00DE34D9"/>
    <w:rsid w:val="00DE3630"/>
    <w:rsid w:val="00DE37EE"/>
    <w:rsid w:val="00DE39AF"/>
    <w:rsid w:val="00DE3DF1"/>
    <w:rsid w:val="00DE3E1C"/>
    <w:rsid w:val="00DE48BC"/>
    <w:rsid w:val="00DE4AF6"/>
    <w:rsid w:val="00DE52D8"/>
    <w:rsid w:val="00DE5487"/>
    <w:rsid w:val="00DE54C4"/>
    <w:rsid w:val="00DE56C5"/>
    <w:rsid w:val="00DE5B48"/>
    <w:rsid w:val="00DE5BA5"/>
    <w:rsid w:val="00DE5BF0"/>
    <w:rsid w:val="00DE5F95"/>
    <w:rsid w:val="00DE7055"/>
    <w:rsid w:val="00DE734B"/>
    <w:rsid w:val="00DE7681"/>
    <w:rsid w:val="00DE7DB8"/>
    <w:rsid w:val="00DF06BE"/>
    <w:rsid w:val="00DF07A6"/>
    <w:rsid w:val="00DF07E6"/>
    <w:rsid w:val="00DF0BDA"/>
    <w:rsid w:val="00DF0F17"/>
    <w:rsid w:val="00DF1080"/>
    <w:rsid w:val="00DF12FA"/>
    <w:rsid w:val="00DF14F7"/>
    <w:rsid w:val="00DF1903"/>
    <w:rsid w:val="00DF1CBF"/>
    <w:rsid w:val="00DF214D"/>
    <w:rsid w:val="00DF32D9"/>
    <w:rsid w:val="00DF3367"/>
    <w:rsid w:val="00DF345F"/>
    <w:rsid w:val="00DF363E"/>
    <w:rsid w:val="00DF458B"/>
    <w:rsid w:val="00DF4773"/>
    <w:rsid w:val="00DF498E"/>
    <w:rsid w:val="00DF4B68"/>
    <w:rsid w:val="00DF4B6C"/>
    <w:rsid w:val="00DF51B3"/>
    <w:rsid w:val="00DF5A49"/>
    <w:rsid w:val="00DF60B6"/>
    <w:rsid w:val="00DF6434"/>
    <w:rsid w:val="00DF643A"/>
    <w:rsid w:val="00DF68C0"/>
    <w:rsid w:val="00DF6D85"/>
    <w:rsid w:val="00DF744D"/>
    <w:rsid w:val="00DF755F"/>
    <w:rsid w:val="00DF7E3E"/>
    <w:rsid w:val="00E00062"/>
    <w:rsid w:val="00E0038F"/>
    <w:rsid w:val="00E00858"/>
    <w:rsid w:val="00E00A26"/>
    <w:rsid w:val="00E00B7D"/>
    <w:rsid w:val="00E00FA4"/>
    <w:rsid w:val="00E011F9"/>
    <w:rsid w:val="00E01447"/>
    <w:rsid w:val="00E01945"/>
    <w:rsid w:val="00E01C4E"/>
    <w:rsid w:val="00E022C1"/>
    <w:rsid w:val="00E024B2"/>
    <w:rsid w:val="00E02620"/>
    <w:rsid w:val="00E02846"/>
    <w:rsid w:val="00E02F78"/>
    <w:rsid w:val="00E03066"/>
    <w:rsid w:val="00E0328D"/>
    <w:rsid w:val="00E032E2"/>
    <w:rsid w:val="00E033C5"/>
    <w:rsid w:val="00E037C8"/>
    <w:rsid w:val="00E038EB"/>
    <w:rsid w:val="00E040B9"/>
    <w:rsid w:val="00E04D41"/>
    <w:rsid w:val="00E04EB1"/>
    <w:rsid w:val="00E05DCA"/>
    <w:rsid w:val="00E0612A"/>
    <w:rsid w:val="00E067F9"/>
    <w:rsid w:val="00E06B9A"/>
    <w:rsid w:val="00E0719D"/>
    <w:rsid w:val="00E07350"/>
    <w:rsid w:val="00E07BA3"/>
    <w:rsid w:val="00E10A14"/>
    <w:rsid w:val="00E10DEF"/>
    <w:rsid w:val="00E114A2"/>
    <w:rsid w:val="00E1249A"/>
    <w:rsid w:val="00E124EE"/>
    <w:rsid w:val="00E1257C"/>
    <w:rsid w:val="00E1260A"/>
    <w:rsid w:val="00E12822"/>
    <w:rsid w:val="00E128A4"/>
    <w:rsid w:val="00E1293D"/>
    <w:rsid w:val="00E13185"/>
    <w:rsid w:val="00E13307"/>
    <w:rsid w:val="00E140AC"/>
    <w:rsid w:val="00E14283"/>
    <w:rsid w:val="00E1488B"/>
    <w:rsid w:val="00E150FF"/>
    <w:rsid w:val="00E151EB"/>
    <w:rsid w:val="00E1553B"/>
    <w:rsid w:val="00E163ED"/>
    <w:rsid w:val="00E16641"/>
    <w:rsid w:val="00E17B5B"/>
    <w:rsid w:val="00E17D5E"/>
    <w:rsid w:val="00E2029F"/>
    <w:rsid w:val="00E20A0D"/>
    <w:rsid w:val="00E21774"/>
    <w:rsid w:val="00E21E11"/>
    <w:rsid w:val="00E21E17"/>
    <w:rsid w:val="00E220E2"/>
    <w:rsid w:val="00E22156"/>
    <w:rsid w:val="00E22C7A"/>
    <w:rsid w:val="00E23604"/>
    <w:rsid w:val="00E23D84"/>
    <w:rsid w:val="00E24311"/>
    <w:rsid w:val="00E2475B"/>
    <w:rsid w:val="00E24CF0"/>
    <w:rsid w:val="00E24E3D"/>
    <w:rsid w:val="00E24E62"/>
    <w:rsid w:val="00E24FED"/>
    <w:rsid w:val="00E254D3"/>
    <w:rsid w:val="00E25653"/>
    <w:rsid w:val="00E25666"/>
    <w:rsid w:val="00E25768"/>
    <w:rsid w:val="00E267E7"/>
    <w:rsid w:val="00E26DAA"/>
    <w:rsid w:val="00E272C4"/>
    <w:rsid w:val="00E2753D"/>
    <w:rsid w:val="00E27582"/>
    <w:rsid w:val="00E2760B"/>
    <w:rsid w:val="00E30496"/>
    <w:rsid w:val="00E30B87"/>
    <w:rsid w:val="00E30CE9"/>
    <w:rsid w:val="00E30E43"/>
    <w:rsid w:val="00E31019"/>
    <w:rsid w:val="00E3149E"/>
    <w:rsid w:val="00E317EB"/>
    <w:rsid w:val="00E31AA0"/>
    <w:rsid w:val="00E31CE2"/>
    <w:rsid w:val="00E31D0C"/>
    <w:rsid w:val="00E31D94"/>
    <w:rsid w:val="00E320A4"/>
    <w:rsid w:val="00E3219D"/>
    <w:rsid w:val="00E321A9"/>
    <w:rsid w:val="00E32322"/>
    <w:rsid w:val="00E32842"/>
    <w:rsid w:val="00E3328A"/>
    <w:rsid w:val="00E3329D"/>
    <w:rsid w:val="00E33A29"/>
    <w:rsid w:val="00E33AF7"/>
    <w:rsid w:val="00E34034"/>
    <w:rsid w:val="00E35345"/>
    <w:rsid w:val="00E35514"/>
    <w:rsid w:val="00E35713"/>
    <w:rsid w:val="00E358C3"/>
    <w:rsid w:val="00E35A7C"/>
    <w:rsid w:val="00E35E1F"/>
    <w:rsid w:val="00E35F29"/>
    <w:rsid w:val="00E35FE0"/>
    <w:rsid w:val="00E360F5"/>
    <w:rsid w:val="00E3628B"/>
    <w:rsid w:val="00E36332"/>
    <w:rsid w:val="00E36BF4"/>
    <w:rsid w:val="00E37497"/>
    <w:rsid w:val="00E375EF"/>
    <w:rsid w:val="00E37662"/>
    <w:rsid w:val="00E37A67"/>
    <w:rsid w:val="00E37B62"/>
    <w:rsid w:val="00E40240"/>
    <w:rsid w:val="00E40A3D"/>
    <w:rsid w:val="00E40AEF"/>
    <w:rsid w:val="00E40B25"/>
    <w:rsid w:val="00E40F92"/>
    <w:rsid w:val="00E4116A"/>
    <w:rsid w:val="00E413DF"/>
    <w:rsid w:val="00E4160D"/>
    <w:rsid w:val="00E41630"/>
    <w:rsid w:val="00E41AFE"/>
    <w:rsid w:val="00E41BBD"/>
    <w:rsid w:val="00E42341"/>
    <w:rsid w:val="00E42954"/>
    <w:rsid w:val="00E42D6B"/>
    <w:rsid w:val="00E42EC8"/>
    <w:rsid w:val="00E43191"/>
    <w:rsid w:val="00E43490"/>
    <w:rsid w:val="00E43CCF"/>
    <w:rsid w:val="00E43E7E"/>
    <w:rsid w:val="00E44981"/>
    <w:rsid w:val="00E44DDF"/>
    <w:rsid w:val="00E44E6A"/>
    <w:rsid w:val="00E44F25"/>
    <w:rsid w:val="00E45729"/>
    <w:rsid w:val="00E45DE2"/>
    <w:rsid w:val="00E45EBB"/>
    <w:rsid w:val="00E460E3"/>
    <w:rsid w:val="00E465AA"/>
    <w:rsid w:val="00E46BE3"/>
    <w:rsid w:val="00E46CF7"/>
    <w:rsid w:val="00E471F0"/>
    <w:rsid w:val="00E4735B"/>
    <w:rsid w:val="00E47542"/>
    <w:rsid w:val="00E477B4"/>
    <w:rsid w:val="00E479E2"/>
    <w:rsid w:val="00E47AFF"/>
    <w:rsid w:val="00E47C88"/>
    <w:rsid w:val="00E511F8"/>
    <w:rsid w:val="00E519F5"/>
    <w:rsid w:val="00E51A79"/>
    <w:rsid w:val="00E5207D"/>
    <w:rsid w:val="00E52172"/>
    <w:rsid w:val="00E5232F"/>
    <w:rsid w:val="00E52627"/>
    <w:rsid w:val="00E52F4B"/>
    <w:rsid w:val="00E53113"/>
    <w:rsid w:val="00E535AC"/>
    <w:rsid w:val="00E5380D"/>
    <w:rsid w:val="00E53A0C"/>
    <w:rsid w:val="00E53B81"/>
    <w:rsid w:val="00E541E2"/>
    <w:rsid w:val="00E542FA"/>
    <w:rsid w:val="00E55446"/>
    <w:rsid w:val="00E5579F"/>
    <w:rsid w:val="00E55CAE"/>
    <w:rsid w:val="00E55CC7"/>
    <w:rsid w:val="00E55CFA"/>
    <w:rsid w:val="00E55D3C"/>
    <w:rsid w:val="00E55DCD"/>
    <w:rsid w:val="00E55EA6"/>
    <w:rsid w:val="00E5639B"/>
    <w:rsid w:val="00E565FD"/>
    <w:rsid w:val="00E56BF0"/>
    <w:rsid w:val="00E57FCB"/>
    <w:rsid w:val="00E60080"/>
    <w:rsid w:val="00E60AB9"/>
    <w:rsid w:val="00E60AD7"/>
    <w:rsid w:val="00E61983"/>
    <w:rsid w:val="00E61B49"/>
    <w:rsid w:val="00E61DB6"/>
    <w:rsid w:val="00E61E12"/>
    <w:rsid w:val="00E621A2"/>
    <w:rsid w:val="00E62889"/>
    <w:rsid w:val="00E628C8"/>
    <w:rsid w:val="00E62AA1"/>
    <w:rsid w:val="00E632AC"/>
    <w:rsid w:val="00E638C0"/>
    <w:rsid w:val="00E63936"/>
    <w:rsid w:val="00E63E25"/>
    <w:rsid w:val="00E65513"/>
    <w:rsid w:val="00E656E4"/>
    <w:rsid w:val="00E65F32"/>
    <w:rsid w:val="00E6623E"/>
    <w:rsid w:val="00E66550"/>
    <w:rsid w:val="00E670E7"/>
    <w:rsid w:val="00E6730F"/>
    <w:rsid w:val="00E676C9"/>
    <w:rsid w:val="00E70030"/>
    <w:rsid w:val="00E7038E"/>
    <w:rsid w:val="00E706E9"/>
    <w:rsid w:val="00E70891"/>
    <w:rsid w:val="00E709D3"/>
    <w:rsid w:val="00E71D63"/>
    <w:rsid w:val="00E73877"/>
    <w:rsid w:val="00E7424B"/>
    <w:rsid w:val="00E74457"/>
    <w:rsid w:val="00E7463A"/>
    <w:rsid w:val="00E75B4B"/>
    <w:rsid w:val="00E75B6D"/>
    <w:rsid w:val="00E75FD5"/>
    <w:rsid w:val="00E7686D"/>
    <w:rsid w:val="00E76D01"/>
    <w:rsid w:val="00E77302"/>
    <w:rsid w:val="00E775A5"/>
    <w:rsid w:val="00E77628"/>
    <w:rsid w:val="00E7764D"/>
    <w:rsid w:val="00E7798E"/>
    <w:rsid w:val="00E77C38"/>
    <w:rsid w:val="00E77E21"/>
    <w:rsid w:val="00E77F41"/>
    <w:rsid w:val="00E80F37"/>
    <w:rsid w:val="00E8106F"/>
    <w:rsid w:val="00E81B04"/>
    <w:rsid w:val="00E81BDC"/>
    <w:rsid w:val="00E82236"/>
    <w:rsid w:val="00E8287D"/>
    <w:rsid w:val="00E839FB"/>
    <w:rsid w:val="00E83C02"/>
    <w:rsid w:val="00E84294"/>
    <w:rsid w:val="00E842CD"/>
    <w:rsid w:val="00E848CB"/>
    <w:rsid w:val="00E8491A"/>
    <w:rsid w:val="00E8495F"/>
    <w:rsid w:val="00E84C01"/>
    <w:rsid w:val="00E84CC7"/>
    <w:rsid w:val="00E84D8F"/>
    <w:rsid w:val="00E84F06"/>
    <w:rsid w:val="00E85364"/>
    <w:rsid w:val="00E85702"/>
    <w:rsid w:val="00E859CB"/>
    <w:rsid w:val="00E8638C"/>
    <w:rsid w:val="00E8638D"/>
    <w:rsid w:val="00E86571"/>
    <w:rsid w:val="00E867D4"/>
    <w:rsid w:val="00E86D92"/>
    <w:rsid w:val="00E8772F"/>
    <w:rsid w:val="00E8779E"/>
    <w:rsid w:val="00E87BCE"/>
    <w:rsid w:val="00E87C77"/>
    <w:rsid w:val="00E9042A"/>
    <w:rsid w:val="00E9055B"/>
    <w:rsid w:val="00E90624"/>
    <w:rsid w:val="00E9066B"/>
    <w:rsid w:val="00E90719"/>
    <w:rsid w:val="00E90FB1"/>
    <w:rsid w:val="00E90FE0"/>
    <w:rsid w:val="00E92108"/>
    <w:rsid w:val="00E9234E"/>
    <w:rsid w:val="00E92813"/>
    <w:rsid w:val="00E9347C"/>
    <w:rsid w:val="00E93490"/>
    <w:rsid w:val="00E93846"/>
    <w:rsid w:val="00E93B2B"/>
    <w:rsid w:val="00E94A43"/>
    <w:rsid w:val="00E94AEB"/>
    <w:rsid w:val="00E950B5"/>
    <w:rsid w:val="00E95157"/>
    <w:rsid w:val="00E95C6D"/>
    <w:rsid w:val="00E95D6D"/>
    <w:rsid w:val="00E96B62"/>
    <w:rsid w:val="00E96F42"/>
    <w:rsid w:val="00E9705E"/>
    <w:rsid w:val="00E97096"/>
    <w:rsid w:val="00E97570"/>
    <w:rsid w:val="00E979FE"/>
    <w:rsid w:val="00E97E79"/>
    <w:rsid w:val="00EA0932"/>
    <w:rsid w:val="00EA09C6"/>
    <w:rsid w:val="00EA158F"/>
    <w:rsid w:val="00EA1BF7"/>
    <w:rsid w:val="00EA226E"/>
    <w:rsid w:val="00EA31DC"/>
    <w:rsid w:val="00EA3B31"/>
    <w:rsid w:val="00EA4327"/>
    <w:rsid w:val="00EA43F8"/>
    <w:rsid w:val="00EA4512"/>
    <w:rsid w:val="00EA47DC"/>
    <w:rsid w:val="00EA4A37"/>
    <w:rsid w:val="00EA5267"/>
    <w:rsid w:val="00EA52DC"/>
    <w:rsid w:val="00EA6151"/>
    <w:rsid w:val="00EA61BA"/>
    <w:rsid w:val="00EA626B"/>
    <w:rsid w:val="00EA6669"/>
    <w:rsid w:val="00EA6997"/>
    <w:rsid w:val="00EA69C2"/>
    <w:rsid w:val="00EA6E26"/>
    <w:rsid w:val="00EA6FB4"/>
    <w:rsid w:val="00EA7306"/>
    <w:rsid w:val="00EA7483"/>
    <w:rsid w:val="00EA74E7"/>
    <w:rsid w:val="00EA7881"/>
    <w:rsid w:val="00EA7CE9"/>
    <w:rsid w:val="00EB084F"/>
    <w:rsid w:val="00EB088A"/>
    <w:rsid w:val="00EB088F"/>
    <w:rsid w:val="00EB142B"/>
    <w:rsid w:val="00EB14DB"/>
    <w:rsid w:val="00EB14DE"/>
    <w:rsid w:val="00EB1826"/>
    <w:rsid w:val="00EB1A38"/>
    <w:rsid w:val="00EB21E5"/>
    <w:rsid w:val="00EB24FA"/>
    <w:rsid w:val="00EB27BF"/>
    <w:rsid w:val="00EB2CF2"/>
    <w:rsid w:val="00EB2F0A"/>
    <w:rsid w:val="00EB352E"/>
    <w:rsid w:val="00EB355A"/>
    <w:rsid w:val="00EB364C"/>
    <w:rsid w:val="00EB3A6F"/>
    <w:rsid w:val="00EB3D59"/>
    <w:rsid w:val="00EB3EDF"/>
    <w:rsid w:val="00EB3F2A"/>
    <w:rsid w:val="00EB43DE"/>
    <w:rsid w:val="00EB4A35"/>
    <w:rsid w:val="00EB4F2B"/>
    <w:rsid w:val="00EB5618"/>
    <w:rsid w:val="00EB56E3"/>
    <w:rsid w:val="00EB5727"/>
    <w:rsid w:val="00EB6098"/>
    <w:rsid w:val="00EB6187"/>
    <w:rsid w:val="00EB6223"/>
    <w:rsid w:val="00EB6E01"/>
    <w:rsid w:val="00EB6FA5"/>
    <w:rsid w:val="00EB7327"/>
    <w:rsid w:val="00EB77E7"/>
    <w:rsid w:val="00EB7988"/>
    <w:rsid w:val="00EB7A2C"/>
    <w:rsid w:val="00EB7EF7"/>
    <w:rsid w:val="00EC0065"/>
    <w:rsid w:val="00EC0352"/>
    <w:rsid w:val="00EC0739"/>
    <w:rsid w:val="00EC0AD1"/>
    <w:rsid w:val="00EC0AFE"/>
    <w:rsid w:val="00EC1283"/>
    <w:rsid w:val="00EC1680"/>
    <w:rsid w:val="00EC1B96"/>
    <w:rsid w:val="00EC1E25"/>
    <w:rsid w:val="00EC297A"/>
    <w:rsid w:val="00EC29ED"/>
    <w:rsid w:val="00EC2ADF"/>
    <w:rsid w:val="00EC2CC9"/>
    <w:rsid w:val="00EC30F5"/>
    <w:rsid w:val="00EC396B"/>
    <w:rsid w:val="00EC3F1A"/>
    <w:rsid w:val="00EC405F"/>
    <w:rsid w:val="00EC40B6"/>
    <w:rsid w:val="00EC4112"/>
    <w:rsid w:val="00EC422A"/>
    <w:rsid w:val="00EC5196"/>
    <w:rsid w:val="00EC565E"/>
    <w:rsid w:val="00EC5978"/>
    <w:rsid w:val="00EC5B0C"/>
    <w:rsid w:val="00EC5FD1"/>
    <w:rsid w:val="00EC6328"/>
    <w:rsid w:val="00EC7F79"/>
    <w:rsid w:val="00EC7FB3"/>
    <w:rsid w:val="00ED0509"/>
    <w:rsid w:val="00ED05BE"/>
    <w:rsid w:val="00ED0A14"/>
    <w:rsid w:val="00ED158A"/>
    <w:rsid w:val="00ED1C74"/>
    <w:rsid w:val="00ED1EC1"/>
    <w:rsid w:val="00ED21DE"/>
    <w:rsid w:val="00ED2A14"/>
    <w:rsid w:val="00ED2ABC"/>
    <w:rsid w:val="00ED2C8F"/>
    <w:rsid w:val="00ED2DF5"/>
    <w:rsid w:val="00ED37A5"/>
    <w:rsid w:val="00ED3966"/>
    <w:rsid w:val="00ED4309"/>
    <w:rsid w:val="00ED4490"/>
    <w:rsid w:val="00ED459D"/>
    <w:rsid w:val="00ED4928"/>
    <w:rsid w:val="00ED4C1A"/>
    <w:rsid w:val="00ED4E8F"/>
    <w:rsid w:val="00ED51A1"/>
    <w:rsid w:val="00ED546F"/>
    <w:rsid w:val="00ED5ACB"/>
    <w:rsid w:val="00ED5BF0"/>
    <w:rsid w:val="00ED62A8"/>
    <w:rsid w:val="00ED64FA"/>
    <w:rsid w:val="00ED6672"/>
    <w:rsid w:val="00ED676E"/>
    <w:rsid w:val="00ED6925"/>
    <w:rsid w:val="00ED6A8C"/>
    <w:rsid w:val="00ED6DF4"/>
    <w:rsid w:val="00ED74B8"/>
    <w:rsid w:val="00EE0235"/>
    <w:rsid w:val="00EE13AB"/>
    <w:rsid w:val="00EE15E7"/>
    <w:rsid w:val="00EE1A0A"/>
    <w:rsid w:val="00EE1B67"/>
    <w:rsid w:val="00EE1E00"/>
    <w:rsid w:val="00EE206B"/>
    <w:rsid w:val="00EE3251"/>
    <w:rsid w:val="00EE32CE"/>
    <w:rsid w:val="00EE3305"/>
    <w:rsid w:val="00EE3C5C"/>
    <w:rsid w:val="00EE3E0E"/>
    <w:rsid w:val="00EE3F06"/>
    <w:rsid w:val="00EE40E4"/>
    <w:rsid w:val="00EE4995"/>
    <w:rsid w:val="00EE49F7"/>
    <w:rsid w:val="00EE4A31"/>
    <w:rsid w:val="00EE4E43"/>
    <w:rsid w:val="00EE4EB8"/>
    <w:rsid w:val="00EE50AC"/>
    <w:rsid w:val="00EE5653"/>
    <w:rsid w:val="00EE5887"/>
    <w:rsid w:val="00EE5A5F"/>
    <w:rsid w:val="00EE5DE5"/>
    <w:rsid w:val="00EE67EC"/>
    <w:rsid w:val="00EE6A72"/>
    <w:rsid w:val="00EE6CB3"/>
    <w:rsid w:val="00EE7341"/>
    <w:rsid w:val="00EE73E3"/>
    <w:rsid w:val="00EE7B73"/>
    <w:rsid w:val="00EE7BAA"/>
    <w:rsid w:val="00EE7CE3"/>
    <w:rsid w:val="00EF0192"/>
    <w:rsid w:val="00EF02E5"/>
    <w:rsid w:val="00EF0510"/>
    <w:rsid w:val="00EF0535"/>
    <w:rsid w:val="00EF101B"/>
    <w:rsid w:val="00EF13A6"/>
    <w:rsid w:val="00EF1530"/>
    <w:rsid w:val="00EF1D5C"/>
    <w:rsid w:val="00EF2503"/>
    <w:rsid w:val="00EF3160"/>
    <w:rsid w:val="00EF3732"/>
    <w:rsid w:val="00EF37E7"/>
    <w:rsid w:val="00EF399A"/>
    <w:rsid w:val="00EF3C3B"/>
    <w:rsid w:val="00EF3E54"/>
    <w:rsid w:val="00EF43AA"/>
    <w:rsid w:val="00EF4508"/>
    <w:rsid w:val="00EF5155"/>
    <w:rsid w:val="00EF5800"/>
    <w:rsid w:val="00EF580A"/>
    <w:rsid w:val="00EF5D93"/>
    <w:rsid w:val="00EF61C5"/>
    <w:rsid w:val="00EF661D"/>
    <w:rsid w:val="00EF6974"/>
    <w:rsid w:val="00EF6CEB"/>
    <w:rsid w:val="00EF72B3"/>
    <w:rsid w:val="00EF7809"/>
    <w:rsid w:val="00EF7D76"/>
    <w:rsid w:val="00F00548"/>
    <w:rsid w:val="00F0073F"/>
    <w:rsid w:val="00F017DF"/>
    <w:rsid w:val="00F01F10"/>
    <w:rsid w:val="00F02111"/>
    <w:rsid w:val="00F0214D"/>
    <w:rsid w:val="00F0252F"/>
    <w:rsid w:val="00F026A6"/>
    <w:rsid w:val="00F02A1C"/>
    <w:rsid w:val="00F02C21"/>
    <w:rsid w:val="00F0343C"/>
    <w:rsid w:val="00F036C5"/>
    <w:rsid w:val="00F041CE"/>
    <w:rsid w:val="00F04262"/>
    <w:rsid w:val="00F04663"/>
    <w:rsid w:val="00F046C9"/>
    <w:rsid w:val="00F047B3"/>
    <w:rsid w:val="00F04C04"/>
    <w:rsid w:val="00F050A6"/>
    <w:rsid w:val="00F053FE"/>
    <w:rsid w:val="00F056F4"/>
    <w:rsid w:val="00F05A44"/>
    <w:rsid w:val="00F05C95"/>
    <w:rsid w:val="00F05CEB"/>
    <w:rsid w:val="00F05D5D"/>
    <w:rsid w:val="00F06538"/>
    <w:rsid w:val="00F0683D"/>
    <w:rsid w:val="00F06ADE"/>
    <w:rsid w:val="00F0754E"/>
    <w:rsid w:val="00F0758E"/>
    <w:rsid w:val="00F07889"/>
    <w:rsid w:val="00F10438"/>
    <w:rsid w:val="00F11300"/>
    <w:rsid w:val="00F11B49"/>
    <w:rsid w:val="00F12983"/>
    <w:rsid w:val="00F12ACD"/>
    <w:rsid w:val="00F12D09"/>
    <w:rsid w:val="00F12F8E"/>
    <w:rsid w:val="00F13027"/>
    <w:rsid w:val="00F13389"/>
    <w:rsid w:val="00F1391F"/>
    <w:rsid w:val="00F13DAC"/>
    <w:rsid w:val="00F13E4A"/>
    <w:rsid w:val="00F14111"/>
    <w:rsid w:val="00F141C6"/>
    <w:rsid w:val="00F146B3"/>
    <w:rsid w:val="00F1538F"/>
    <w:rsid w:val="00F15D6E"/>
    <w:rsid w:val="00F15FAC"/>
    <w:rsid w:val="00F16548"/>
    <w:rsid w:val="00F168D5"/>
    <w:rsid w:val="00F16A65"/>
    <w:rsid w:val="00F16F21"/>
    <w:rsid w:val="00F17400"/>
    <w:rsid w:val="00F17405"/>
    <w:rsid w:val="00F17E34"/>
    <w:rsid w:val="00F17EAD"/>
    <w:rsid w:val="00F17FF5"/>
    <w:rsid w:val="00F2017C"/>
    <w:rsid w:val="00F2073E"/>
    <w:rsid w:val="00F20768"/>
    <w:rsid w:val="00F209E0"/>
    <w:rsid w:val="00F20F7E"/>
    <w:rsid w:val="00F21405"/>
    <w:rsid w:val="00F219B6"/>
    <w:rsid w:val="00F21B0F"/>
    <w:rsid w:val="00F22343"/>
    <w:rsid w:val="00F2261C"/>
    <w:rsid w:val="00F23086"/>
    <w:rsid w:val="00F237D2"/>
    <w:rsid w:val="00F24B07"/>
    <w:rsid w:val="00F2597C"/>
    <w:rsid w:val="00F25BF4"/>
    <w:rsid w:val="00F25F38"/>
    <w:rsid w:val="00F26493"/>
    <w:rsid w:val="00F26C1F"/>
    <w:rsid w:val="00F26E8C"/>
    <w:rsid w:val="00F27185"/>
    <w:rsid w:val="00F2742D"/>
    <w:rsid w:val="00F27A3A"/>
    <w:rsid w:val="00F3048D"/>
    <w:rsid w:val="00F305FE"/>
    <w:rsid w:val="00F30684"/>
    <w:rsid w:val="00F30ED7"/>
    <w:rsid w:val="00F31029"/>
    <w:rsid w:val="00F310B4"/>
    <w:rsid w:val="00F310C4"/>
    <w:rsid w:val="00F315BD"/>
    <w:rsid w:val="00F31B5A"/>
    <w:rsid w:val="00F32595"/>
    <w:rsid w:val="00F325A4"/>
    <w:rsid w:val="00F32632"/>
    <w:rsid w:val="00F32781"/>
    <w:rsid w:val="00F32892"/>
    <w:rsid w:val="00F32A3C"/>
    <w:rsid w:val="00F332CF"/>
    <w:rsid w:val="00F334D9"/>
    <w:rsid w:val="00F33576"/>
    <w:rsid w:val="00F3367E"/>
    <w:rsid w:val="00F34101"/>
    <w:rsid w:val="00F3458C"/>
    <w:rsid w:val="00F345E2"/>
    <w:rsid w:val="00F34A5C"/>
    <w:rsid w:val="00F34B66"/>
    <w:rsid w:val="00F35759"/>
    <w:rsid w:val="00F35A58"/>
    <w:rsid w:val="00F35C3E"/>
    <w:rsid w:val="00F35CB5"/>
    <w:rsid w:val="00F35DD7"/>
    <w:rsid w:val="00F36181"/>
    <w:rsid w:val="00F3631D"/>
    <w:rsid w:val="00F363AD"/>
    <w:rsid w:val="00F36BD6"/>
    <w:rsid w:val="00F36E73"/>
    <w:rsid w:val="00F36F99"/>
    <w:rsid w:val="00F37147"/>
    <w:rsid w:val="00F37353"/>
    <w:rsid w:val="00F37F99"/>
    <w:rsid w:val="00F37FB3"/>
    <w:rsid w:val="00F40191"/>
    <w:rsid w:val="00F404C4"/>
    <w:rsid w:val="00F40684"/>
    <w:rsid w:val="00F4072C"/>
    <w:rsid w:val="00F40AEC"/>
    <w:rsid w:val="00F40B1A"/>
    <w:rsid w:val="00F414F1"/>
    <w:rsid w:val="00F41987"/>
    <w:rsid w:val="00F41FFA"/>
    <w:rsid w:val="00F4209A"/>
    <w:rsid w:val="00F424E0"/>
    <w:rsid w:val="00F42C2D"/>
    <w:rsid w:val="00F42E94"/>
    <w:rsid w:val="00F430C0"/>
    <w:rsid w:val="00F43200"/>
    <w:rsid w:val="00F43844"/>
    <w:rsid w:val="00F441BF"/>
    <w:rsid w:val="00F445A5"/>
    <w:rsid w:val="00F446CF"/>
    <w:rsid w:val="00F44C8A"/>
    <w:rsid w:val="00F44E8E"/>
    <w:rsid w:val="00F44FB7"/>
    <w:rsid w:val="00F45EE9"/>
    <w:rsid w:val="00F4645F"/>
    <w:rsid w:val="00F4690C"/>
    <w:rsid w:val="00F46AB8"/>
    <w:rsid w:val="00F46FF4"/>
    <w:rsid w:val="00F4721D"/>
    <w:rsid w:val="00F47BA2"/>
    <w:rsid w:val="00F47D11"/>
    <w:rsid w:val="00F50112"/>
    <w:rsid w:val="00F5052A"/>
    <w:rsid w:val="00F5099A"/>
    <w:rsid w:val="00F509EB"/>
    <w:rsid w:val="00F511A4"/>
    <w:rsid w:val="00F5161B"/>
    <w:rsid w:val="00F51C29"/>
    <w:rsid w:val="00F51C35"/>
    <w:rsid w:val="00F51D21"/>
    <w:rsid w:val="00F52900"/>
    <w:rsid w:val="00F52CC8"/>
    <w:rsid w:val="00F52D6F"/>
    <w:rsid w:val="00F53000"/>
    <w:rsid w:val="00F532B6"/>
    <w:rsid w:val="00F545DB"/>
    <w:rsid w:val="00F54AB4"/>
    <w:rsid w:val="00F54B84"/>
    <w:rsid w:val="00F5652A"/>
    <w:rsid w:val="00F56BF0"/>
    <w:rsid w:val="00F56DB3"/>
    <w:rsid w:val="00F56DB8"/>
    <w:rsid w:val="00F57EF8"/>
    <w:rsid w:val="00F60124"/>
    <w:rsid w:val="00F60186"/>
    <w:rsid w:val="00F601F2"/>
    <w:rsid w:val="00F6068A"/>
    <w:rsid w:val="00F60722"/>
    <w:rsid w:val="00F60B4F"/>
    <w:rsid w:val="00F60BC0"/>
    <w:rsid w:val="00F61879"/>
    <w:rsid w:val="00F61A61"/>
    <w:rsid w:val="00F62249"/>
    <w:rsid w:val="00F622D4"/>
    <w:rsid w:val="00F62780"/>
    <w:rsid w:val="00F62AC3"/>
    <w:rsid w:val="00F62BAE"/>
    <w:rsid w:val="00F632BC"/>
    <w:rsid w:val="00F63911"/>
    <w:rsid w:val="00F63B3B"/>
    <w:rsid w:val="00F64835"/>
    <w:rsid w:val="00F65116"/>
    <w:rsid w:val="00F654A9"/>
    <w:rsid w:val="00F655A8"/>
    <w:rsid w:val="00F65687"/>
    <w:rsid w:val="00F6578E"/>
    <w:rsid w:val="00F657E8"/>
    <w:rsid w:val="00F65C8B"/>
    <w:rsid w:val="00F65EA0"/>
    <w:rsid w:val="00F66066"/>
    <w:rsid w:val="00F66181"/>
    <w:rsid w:val="00F66483"/>
    <w:rsid w:val="00F66622"/>
    <w:rsid w:val="00F667B0"/>
    <w:rsid w:val="00F668B8"/>
    <w:rsid w:val="00F66ECA"/>
    <w:rsid w:val="00F6711D"/>
    <w:rsid w:val="00F67AFC"/>
    <w:rsid w:val="00F67C8B"/>
    <w:rsid w:val="00F67F16"/>
    <w:rsid w:val="00F708B7"/>
    <w:rsid w:val="00F70DB4"/>
    <w:rsid w:val="00F71A35"/>
    <w:rsid w:val="00F71B0B"/>
    <w:rsid w:val="00F72021"/>
    <w:rsid w:val="00F7217D"/>
    <w:rsid w:val="00F723BA"/>
    <w:rsid w:val="00F7251D"/>
    <w:rsid w:val="00F72629"/>
    <w:rsid w:val="00F72B0D"/>
    <w:rsid w:val="00F732A1"/>
    <w:rsid w:val="00F733E3"/>
    <w:rsid w:val="00F73BEB"/>
    <w:rsid w:val="00F742E5"/>
    <w:rsid w:val="00F74C81"/>
    <w:rsid w:val="00F7525A"/>
    <w:rsid w:val="00F75559"/>
    <w:rsid w:val="00F75747"/>
    <w:rsid w:val="00F75B28"/>
    <w:rsid w:val="00F7687B"/>
    <w:rsid w:val="00F76A68"/>
    <w:rsid w:val="00F76DC9"/>
    <w:rsid w:val="00F76E14"/>
    <w:rsid w:val="00F76E53"/>
    <w:rsid w:val="00F76E93"/>
    <w:rsid w:val="00F76E98"/>
    <w:rsid w:val="00F77239"/>
    <w:rsid w:val="00F77735"/>
    <w:rsid w:val="00F77968"/>
    <w:rsid w:val="00F77C60"/>
    <w:rsid w:val="00F77D7E"/>
    <w:rsid w:val="00F80C5C"/>
    <w:rsid w:val="00F812E4"/>
    <w:rsid w:val="00F81494"/>
    <w:rsid w:val="00F81556"/>
    <w:rsid w:val="00F816B3"/>
    <w:rsid w:val="00F81A85"/>
    <w:rsid w:val="00F825B8"/>
    <w:rsid w:val="00F82D49"/>
    <w:rsid w:val="00F82F84"/>
    <w:rsid w:val="00F834EC"/>
    <w:rsid w:val="00F83618"/>
    <w:rsid w:val="00F8386B"/>
    <w:rsid w:val="00F83BE7"/>
    <w:rsid w:val="00F83D9B"/>
    <w:rsid w:val="00F84231"/>
    <w:rsid w:val="00F84331"/>
    <w:rsid w:val="00F84732"/>
    <w:rsid w:val="00F85484"/>
    <w:rsid w:val="00F86DF7"/>
    <w:rsid w:val="00F86FC1"/>
    <w:rsid w:val="00F871A7"/>
    <w:rsid w:val="00F87428"/>
    <w:rsid w:val="00F87BF6"/>
    <w:rsid w:val="00F87DA6"/>
    <w:rsid w:val="00F9008E"/>
    <w:rsid w:val="00F9014C"/>
    <w:rsid w:val="00F90172"/>
    <w:rsid w:val="00F9054B"/>
    <w:rsid w:val="00F90931"/>
    <w:rsid w:val="00F90F17"/>
    <w:rsid w:val="00F91945"/>
    <w:rsid w:val="00F91ABE"/>
    <w:rsid w:val="00F91B95"/>
    <w:rsid w:val="00F91C29"/>
    <w:rsid w:val="00F91D9B"/>
    <w:rsid w:val="00F92095"/>
    <w:rsid w:val="00F92475"/>
    <w:rsid w:val="00F92564"/>
    <w:rsid w:val="00F92B85"/>
    <w:rsid w:val="00F92E9E"/>
    <w:rsid w:val="00F9320D"/>
    <w:rsid w:val="00F94681"/>
    <w:rsid w:val="00F948FC"/>
    <w:rsid w:val="00F94E51"/>
    <w:rsid w:val="00F9562F"/>
    <w:rsid w:val="00F95C1F"/>
    <w:rsid w:val="00F966CF"/>
    <w:rsid w:val="00F9673C"/>
    <w:rsid w:val="00F96867"/>
    <w:rsid w:val="00F969EC"/>
    <w:rsid w:val="00F97897"/>
    <w:rsid w:val="00F97E0D"/>
    <w:rsid w:val="00FA0A01"/>
    <w:rsid w:val="00FA17D0"/>
    <w:rsid w:val="00FA1A2B"/>
    <w:rsid w:val="00FA2054"/>
    <w:rsid w:val="00FA2BDD"/>
    <w:rsid w:val="00FA3397"/>
    <w:rsid w:val="00FA36A2"/>
    <w:rsid w:val="00FA36F1"/>
    <w:rsid w:val="00FA3823"/>
    <w:rsid w:val="00FA3A7F"/>
    <w:rsid w:val="00FA3CCD"/>
    <w:rsid w:val="00FA3FA8"/>
    <w:rsid w:val="00FA4574"/>
    <w:rsid w:val="00FA4614"/>
    <w:rsid w:val="00FA4A83"/>
    <w:rsid w:val="00FA4BCD"/>
    <w:rsid w:val="00FA4DEE"/>
    <w:rsid w:val="00FA548B"/>
    <w:rsid w:val="00FA5D26"/>
    <w:rsid w:val="00FA66B6"/>
    <w:rsid w:val="00FA66E8"/>
    <w:rsid w:val="00FA67F1"/>
    <w:rsid w:val="00FA6A46"/>
    <w:rsid w:val="00FA72C6"/>
    <w:rsid w:val="00FA73A9"/>
    <w:rsid w:val="00FA754B"/>
    <w:rsid w:val="00FA775E"/>
    <w:rsid w:val="00FA7DAE"/>
    <w:rsid w:val="00FA7DD1"/>
    <w:rsid w:val="00FB00AC"/>
    <w:rsid w:val="00FB0954"/>
    <w:rsid w:val="00FB09EA"/>
    <w:rsid w:val="00FB0FD2"/>
    <w:rsid w:val="00FB1915"/>
    <w:rsid w:val="00FB2270"/>
    <w:rsid w:val="00FB2520"/>
    <w:rsid w:val="00FB2E03"/>
    <w:rsid w:val="00FB334A"/>
    <w:rsid w:val="00FB365B"/>
    <w:rsid w:val="00FB37BF"/>
    <w:rsid w:val="00FB3A23"/>
    <w:rsid w:val="00FB4297"/>
    <w:rsid w:val="00FB483F"/>
    <w:rsid w:val="00FB5438"/>
    <w:rsid w:val="00FB63A1"/>
    <w:rsid w:val="00FB647E"/>
    <w:rsid w:val="00FB7132"/>
    <w:rsid w:val="00FB728B"/>
    <w:rsid w:val="00FB73A9"/>
    <w:rsid w:val="00FB74BA"/>
    <w:rsid w:val="00FB761E"/>
    <w:rsid w:val="00FC00FE"/>
    <w:rsid w:val="00FC09CC"/>
    <w:rsid w:val="00FC0D80"/>
    <w:rsid w:val="00FC1178"/>
    <w:rsid w:val="00FC1231"/>
    <w:rsid w:val="00FC131F"/>
    <w:rsid w:val="00FC18A7"/>
    <w:rsid w:val="00FC1C51"/>
    <w:rsid w:val="00FC1CD2"/>
    <w:rsid w:val="00FC1E42"/>
    <w:rsid w:val="00FC2306"/>
    <w:rsid w:val="00FC28A0"/>
    <w:rsid w:val="00FC349C"/>
    <w:rsid w:val="00FC350A"/>
    <w:rsid w:val="00FC3797"/>
    <w:rsid w:val="00FC3AE6"/>
    <w:rsid w:val="00FC3B23"/>
    <w:rsid w:val="00FC3CA1"/>
    <w:rsid w:val="00FC4522"/>
    <w:rsid w:val="00FC45D0"/>
    <w:rsid w:val="00FC46A3"/>
    <w:rsid w:val="00FC4846"/>
    <w:rsid w:val="00FC4923"/>
    <w:rsid w:val="00FC4ADD"/>
    <w:rsid w:val="00FC4ADF"/>
    <w:rsid w:val="00FC4D13"/>
    <w:rsid w:val="00FC4E38"/>
    <w:rsid w:val="00FC50B1"/>
    <w:rsid w:val="00FC5894"/>
    <w:rsid w:val="00FC5AE1"/>
    <w:rsid w:val="00FC5B8D"/>
    <w:rsid w:val="00FC5C70"/>
    <w:rsid w:val="00FC5CD6"/>
    <w:rsid w:val="00FC5CD8"/>
    <w:rsid w:val="00FC5DE3"/>
    <w:rsid w:val="00FC67E5"/>
    <w:rsid w:val="00FC6D7F"/>
    <w:rsid w:val="00FC6DD7"/>
    <w:rsid w:val="00FC6F19"/>
    <w:rsid w:val="00FC7130"/>
    <w:rsid w:val="00FC74B0"/>
    <w:rsid w:val="00FC7C29"/>
    <w:rsid w:val="00FD0127"/>
    <w:rsid w:val="00FD0173"/>
    <w:rsid w:val="00FD0234"/>
    <w:rsid w:val="00FD02FD"/>
    <w:rsid w:val="00FD0A2D"/>
    <w:rsid w:val="00FD0E84"/>
    <w:rsid w:val="00FD120E"/>
    <w:rsid w:val="00FD2033"/>
    <w:rsid w:val="00FD28F8"/>
    <w:rsid w:val="00FD404F"/>
    <w:rsid w:val="00FD43A9"/>
    <w:rsid w:val="00FD4B80"/>
    <w:rsid w:val="00FD4C1F"/>
    <w:rsid w:val="00FD5308"/>
    <w:rsid w:val="00FD54C7"/>
    <w:rsid w:val="00FD5996"/>
    <w:rsid w:val="00FD5C43"/>
    <w:rsid w:val="00FD5D3F"/>
    <w:rsid w:val="00FD66C4"/>
    <w:rsid w:val="00FD6C71"/>
    <w:rsid w:val="00FD706C"/>
    <w:rsid w:val="00FD711C"/>
    <w:rsid w:val="00FD72D3"/>
    <w:rsid w:val="00FD771D"/>
    <w:rsid w:val="00FD775D"/>
    <w:rsid w:val="00FD7918"/>
    <w:rsid w:val="00FD7B10"/>
    <w:rsid w:val="00FD7CE6"/>
    <w:rsid w:val="00FD7E07"/>
    <w:rsid w:val="00FD7ED1"/>
    <w:rsid w:val="00FD7F3F"/>
    <w:rsid w:val="00FE172D"/>
    <w:rsid w:val="00FE2260"/>
    <w:rsid w:val="00FE2B41"/>
    <w:rsid w:val="00FE2B66"/>
    <w:rsid w:val="00FE305B"/>
    <w:rsid w:val="00FE3377"/>
    <w:rsid w:val="00FE36B4"/>
    <w:rsid w:val="00FE3C9D"/>
    <w:rsid w:val="00FE3F64"/>
    <w:rsid w:val="00FE4D9F"/>
    <w:rsid w:val="00FE4F0D"/>
    <w:rsid w:val="00FE5B16"/>
    <w:rsid w:val="00FE607B"/>
    <w:rsid w:val="00FE6182"/>
    <w:rsid w:val="00FE6991"/>
    <w:rsid w:val="00FE7255"/>
    <w:rsid w:val="00FE7711"/>
    <w:rsid w:val="00FE7864"/>
    <w:rsid w:val="00FE7A48"/>
    <w:rsid w:val="00FF0050"/>
    <w:rsid w:val="00FF0086"/>
    <w:rsid w:val="00FF0736"/>
    <w:rsid w:val="00FF09C9"/>
    <w:rsid w:val="00FF0DED"/>
    <w:rsid w:val="00FF0F38"/>
    <w:rsid w:val="00FF1030"/>
    <w:rsid w:val="00FF11EE"/>
    <w:rsid w:val="00FF1FAB"/>
    <w:rsid w:val="00FF2133"/>
    <w:rsid w:val="00FF23C2"/>
    <w:rsid w:val="00FF295D"/>
    <w:rsid w:val="00FF2A63"/>
    <w:rsid w:val="00FF2B68"/>
    <w:rsid w:val="00FF2C26"/>
    <w:rsid w:val="00FF2D4E"/>
    <w:rsid w:val="00FF3348"/>
    <w:rsid w:val="00FF38D4"/>
    <w:rsid w:val="00FF3946"/>
    <w:rsid w:val="00FF3DE6"/>
    <w:rsid w:val="00FF4CB7"/>
    <w:rsid w:val="00FF4E7E"/>
    <w:rsid w:val="00FF5CEE"/>
    <w:rsid w:val="00FF62D7"/>
    <w:rsid w:val="00FF6948"/>
    <w:rsid w:val="00FF6D7B"/>
    <w:rsid w:val="00FF6ED2"/>
    <w:rsid w:val="00FF718C"/>
    <w:rsid w:val="00FF73E5"/>
    <w:rsid w:val="00FF77DC"/>
    <w:rsid w:val="00FF7C13"/>
    <w:rsid w:val="00FF7CAE"/>
    <w:rsid w:val="016B1141"/>
    <w:rsid w:val="017B569D"/>
    <w:rsid w:val="01D00C17"/>
    <w:rsid w:val="01F35441"/>
    <w:rsid w:val="0233386D"/>
    <w:rsid w:val="02891497"/>
    <w:rsid w:val="02C24C83"/>
    <w:rsid w:val="02FE6C09"/>
    <w:rsid w:val="038E134E"/>
    <w:rsid w:val="03F04E05"/>
    <w:rsid w:val="042070BD"/>
    <w:rsid w:val="04276E78"/>
    <w:rsid w:val="04322036"/>
    <w:rsid w:val="04A55C57"/>
    <w:rsid w:val="04B15D38"/>
    <w:rsid w:val="05B46130"/>
    <w:rsid w:val="05D34212"/>
    <w:rsid w:val="061F7FB2"/>
    <w:rsid w:val="065A02D2"/>
    <w:rsid w:val="066178E8"/>
    <w:rsid w:val="070E2C73"/>
    <w:rsid w:val="07420103"/>
    <w:rsid w:val="078E0B6F"/>
    <w:rsid w:val="07A1540E"/>
    <w:rsid w:val="088C5640"/>
    <w:rsid w:val="08942FFD"/>
    <w:rsid w:val="08AB2124"/>
    <w:rsid w:val="08C97E04"/>
    <w:rsid w:val="09277251"/>
    <w:rsid w:val="0933123C"/>
    <w:rsid w:val="09612F13"/>
    <w:rsid w:val="09F61D50"/>
    <w:rsid w:val="0A793B4D"/>
    <w:rsid w:val="0AD11ECB"/>
    <w:rsid w:val="0AFA6591"/>
    <w:rsid w:val="0B0C31E6"/>
    <w:rsid w:val="0B672D35"/>
    <w:rsid w:val="0B717C77"/>
    <w:rsid w:val="0B997E74"/>
    <w:rsid w:val="0BDE1B69"/>
    <w:rsid w:val="0BE348D1"/>
    <w:rsid w:val="0C1436B0"/>
    <w:rsid w:val="0C6F0DFE"/>
    <w:rsid w:val="0CAD68F9"/>
    <w:rsid w:val="0D132F2F"/>
    <w:rsid w:val="0D1624C5"/>
    <w:rsid w:val="0D396755"/>
    <w:rsid w:val="0D612203"/>
    <w:rsid w:val="0D6949DD"/>
    <w:rsid w:val="0D9D6AF5"/>
    <w:rsid w:val="0DAD4881"/>
    <w:rsid w:val="0E2D5604"/>
    <w:rsid w:val="0E2D7D0A"/>
    <w:rsid w:val="0E316849"/>
    <w:rsid w:val="0E855775"/>
    <w:rsid w:val="0EB811D7"/>
    <w:rsid w:val="0F046A49"/>
    <w:rsid w:val="0F345661"/>
    <w:rsid w:val="0F43106C"/>
    <w:rsid w:val="0F6A6D2B"/>
    <w:rsid w:val="0F8D1771"/>
    <w:rsid w:val="0FC85D62"/>
    <w:rsid w:val="10673F78"/>
    <w:rsid w:val="10984392"/>
    <w:rsid w:val="10F36B9B"/>
    <w:rsid w:val="11370240"/>
    <w:rsid w:val="11563F38"/>
    <w:rsid w:val="1157668D"/>
    <w:rsid w:val="11931CCD"/>
    <w:rsid w:val="11A45B20"/>
    <w:rsid w:val="121511E1"/>
    <w:rsid w:val="1282606E"/>
    <w:rsid w:val="12E37A40"/>
    <w:rsid w:val="12E5305F"/>
    <w:rsid w:val="13137DEE"/>
    <w:rsid w:val="133E6515"/>
    <w:rsid w:val="13483AB2"/>
    <w:rsid w:val="134C6571"/>
    <w:rsid w:val="136410CA"/>
    <w:rsid w:val="13766074"/>
    <w:rsid w:val="13AC5423"/>
    <w:rsid w:val="13CB11D5"/>
    <w:rsid w:val="13E630AD"/>
    <w:rsid w:val="14036E93"/>
    <w:rsid w:val="140923FC"/>
    <w:rsid w:val="141476FE"/>
    <w:rsid w:val="14407171"/>
    <w:rsid w:val="148218FE"/>
    <w:rsid w:val="14BA0FC2"/>
    <w:rsid w:val="14BD4042"/>
    <w:rsid w:val="159D39C7"/>
    <w:rsid w:val="15C947BC"/>
    <w:rsid w:val="15E04D1D"/>
    <w:rsid w:val="15E71537"/>
    <w:rsid w:val="16502B86"/>
    <w:rsid w:val="169C219E"/>
    <w:rsid w:val="16A86180"/>
    <w:rsid w:val="16B11A9E"/>
    <w:rsid w:val="173A7902"/>
    <w:rsid w:val="17446A38"/>
    <w:rsid w:val="17494FB8"/>
    <w:rsid w:val="174C3A48"/>
    <w:rsid w:val="1756506A"/>
    <w:rsid w:val="176B459A"/>
    <w:rsid w:val="178349DE"/>
    <w:rsid w:val="17D345EA"/>
    <w:rsid w:val="18474B5B"/>
    <w:rsid w:val="184C1051"/>
    <w:rsid w:val="1876442F"/>
    <w:rsid w:val="187D73BE"/>
    <w:rsid w:val="18EC5490"/>
    <w:rsid w:val="199B6470"/>
    <w:rsid w:val="19E01C28"/>
    <w:rsid w:val="19E7558B"/>
    <w:rsid w:val="19F4540E"/>
    <w:rsid w:val="1A195F32"/>
    <w:rsid w:val="1A2574DE"/>
    <w:rsid w:val="1A2D768C"/>
    <w:rsid w:val="1A331F2E"/>
    <w:rsid w:val="1A413668"/>
    <w:rsid w:val="1A753EF5"/>
    <w:rsid w:val="1A8C4A7F"/>
    <w:rsid w:val="1A9C249F"/>
    <w:rsid w:val="1AD72371"/>
    <w:rsid w:val="1AE84433"/>
    <w:rsid w:val="1AF220BF"/>
    <w:rsid w:val="1B117086"/>
    <w:rsid w:val="1B1D6CDD"/>
    <w:rsid w:val="1B5250FA"/>
    <w:rsid w:val="1B711E75"/>
    <w:rsid w:val="1B7606B6"/>
    <w:rsid w:val="1B942EDA"/>
    <w:rsid w:val="1BC06AAD"/>
    <w:rsid w:val="1C2558E4"/>
    <w:rsid w:val="1C534B92"/>
    <w:rsid w:val="1C6E53AF"/>
    <w:rsid w:val="1C94741D"/>
    <w:rsid w:val="1CA5284C"/>
    <w:rsid w:val="1CDF258C"/>
    <w:rsid w:val="1CE32817"/>
    <w:rsid w:val="1D105D78"/>
    <w:rsid w:val="1D2E1647"/>
    <w:rsid w:val="1D4B3234"/>
    <w:rsid w:val="1E336622"/>
    <w:rsid w:val="1E451260"/>
    <w:rsid w:val="1E915C3C"/>
    <w:rsid w:val="1E997DFD"/>
    <w:rsid w:val="1EE91306"/>
    <w:rsid w:val="1F1C1BA1"/>
    <w:rsid w:val="1F2B20F5"/>
    <w:rsid w:val="1F99187C"/>
    <w:rsid w:val="1FC6411D"/>
    <w:rsid w:val="202B6A28"/>
    <w:rsid w:val="203F3E8A"/>
    <w:rsid w:val="20586099"/>
    <w:rsid w:val="20833FF4"/>
    <w:rsid w:val="209F6AE1"/>
    <w:rsid w:val="20EA4BBF"/>
    <w:rsid w:val="211C6896"/>
    <w:rsid w:val="21B42FBE"/>
    <w:rsid w:val="21C101AB"/>
    <w:rsid w:val="21EC14EC"/>
    <w:rsid w:val="22C60F74"/>
    <w:rsid w:val="23831780"/>
    <w:rsid w:val="23911B46"/>
    <w:rsid w:val="23D06D16"/>
    <w:rsid w:val="24D50412"/>
    <w:rsid w:val="250F386E"/>
    <w:rsid w:val="257A4A42"/>
    <w:rsid w:val="25D560AC"/>
    <w:rsid w:val="26480FF3"/>
    <w:rsid w:val="2661459D"/>
    <w:rsid w:val="26BD2C8E"/>
    <w:rsid w:val="26E87267"/>
    <w:rsid w:val="2702581E"/>
    <w:rsid w:val="27041118"/>
    <w:rsid w:val="27055925"/>
    <w:rsid w:val="27070F1A"/>
    <w:rsid w:val="27227D47"/>
    <w:rsid w:val="27287CFF"/>
    <w:rsid w:val="27564EAE"/>
    <w:rsid w:val="2788674F"/>
    <w:rsid w:val="281F6A72"/>
    <w:rsid w:val="29020B19"/>
    <w:rsid w:val="2976645A"/>
    <w:rsid w:val="29A66B9A"/>
    <w:rsid w:val="29A720CD"/>
    <w:rsid w:val="2A350D92"/>
    <w:rsid w:val="2A4F3B41"/>
    <w:rsid w:val="2A550235"/>
    <w:rsid w:val="2A70204F"/>
    <w:rsid w:val="2A9F19FC"/>
    <w:rsid w:val="2AAD15A9"/>
    <w:rsid w:val="2AEF4F5A"/>
    <w:rsid w:val="2AEF5D4B"/>
    <w:rsid w:val="2AF330B4"/>
    <w:rsid w:val="2AFE68AB"/>
    <w:rsid w:val="2B090BEB"/>
    <w:rsid w:val="2B481888"/>
    <w:rsid w:val="2B4A185A"/>
    <w:rsid w:val="2B66465E"/>
    <w:rsid w:val="2B823D99"/>
    <w:rsid w:val="2B8F395A"/>
    <w:rsid w:val="2B972D64"/>
    <w:rsid w:val="2BC674EA"/>
    <w:rsid w:val="2BDF571B"/>
    <w:rsid w:val="2C66499B"/>
    <w:rsid w:val="2C6B17C7"/>
    <w:rsid w:val="2CD92D9C"/>
    <w:rsid w:val="2CDD5415"/>
    <w:rsid w:val="2CE70EA1"/>
    <w:rsid w:val="2D1A515E"/>
    <w:rsid w:val="2D372EFD"/>
    <w:rsid w:val="2D3E3F20"/>
    <w:rsid w:val="2D5A281C"/>
    <w:rsid w:val="2D6A7911"/>
    <w:rsid w:val="2D6C7214"/>
    <w:rsid w:val="2D822BC7"/>
    <w:rsid w:val="2DAC392A"/>
    <w:rsid w:val="2DB476A8"/>
    <w:rsid w:val="2DC51C5C"/>
    <w:rsid w:val="2E595A03"/>
    <w:rsid w:val="2ED1273B"/>
    <w:rsid w:val="2F083A6E"/>
    <w:rsid w:val="2F234AE5"/>
    <w:rsid w:val="2F397E65"/>
    <w:rsid w:val="2F452CAE"/>
    <w:rsid w:val="301D7111"/>
    <w:rsid w:val="303C6B27"/>
    <w:rsid w:val="307351D1"/>
    <w:rsid w:val="309D684C"/>
    <w:rsid w:val="30DF2B31"/>
    <w:rsid w:val="31544AE7"/>
    <w:rsid w:val="3166141B"/>
    <w:rsid w:val="318907EB"/>
    <w:rsid w:val="319155BB"/>
    <w:rsid w:val="322A755F"/>
    <w:rsid w:val="32A911CA"/>
    <w:rsid w:val="32B214E9"/>
    <w:rsid w:val="32B54787"/>
    <w:rsid w:val="33022264"/>
    <w:rsid w:val="33131370"/>
    <w:rsid w:val="33164701"/>
    <w:rsid w:val="333806C8"/>
    <w:rsid w:val="333A2A4D"/>
    <w:rsid w:val="33A230C4"/>
    <w:rsid w:val="33B56721"/>
    <w:rsid w:val="33FF7AC9"/>
    <w:rsid w:val="3411308D"/>
    <w:rsid w:val="342A348B"/>
    <w:rsid w:val="34341275"/>
    <w:rsid w:val="343E0404"/>
    <w:rsid w:val="34A418E0"/>
    <w:rsid w:val="351464FB"/>
    <w:rsid w:val="35175227"/>
    <w:rsid w:val="35690265"/>
    <w:rsid w:val="35B471A5"/>
    <w:rsid w:val="3602347F"/>
    <w:rsid w:val="36100DEE"/>
    <w:rsid w:val="361E5257"/>
    <w:rsid w:val="36A41CFC"/>
    <w:rsid w:val="36D9605E"/>
    <w:rsid w:val="36F310B9"/>
    <w:rsid w:val="37753A04"/>
    <w:rsid w:val="37756A0B"/>
    <w:rsid w:val="37C567A9"/>
    <w:rsid w:val="383C2BFC"/>
    <w:rsid w:val="38885F1A"/>
    <w:rsid w:val="38AC352F"/>
    <w:rsid w:val="38BB221B"/>
    <w:rsid w:val="38D2453D"/>
    <w:rsid w:val="38DB335F"/>
    <w:rsid w:val="39034A87"/>
    <w:rsid w:val="39485924"/>
    <w:rsid w:val="398E0B08"/>
    <w:rsid w:val="39C47491"/>
    <w:rsid w:val="39DC6477"/>
    <w:rsid w:val="3A414402"/>
    <w:rsid w:val="3A453EA3"/>
    <w:rsid w:val="3A4F418E"/>
    <w:rsid w:val="3A6F5087"/>
    <w:rsid w:val="3A773FED"/>
    <w:rsid w:val="3A8469CC"/>
    <w:rsid w:val="3AC61EE1"/>
    <w:rsid w:val="3B287684"/>
    <w:rsid w:val="3B4D3692"/>
    <w:rsid w:val="3B5A6261"/>
    <w:rsid w:val="3C185036"/>
    <w:rsid w:val="3C52053D"/>
    <w:rsid w:val="3C8D3C33"/>
    <w:rsid w:val="3C94716C"/>
    <w:rsid w:val="3CEC2A7C"/>
    <w:rsid w:val="3D031376"/>
    <w:rsid w:val="3D11647A"/>
    <w:rsid w:val="3D32776C"/>
    <w:rsid w:val="3D4C7D7E"/>
    <w:rsid w:val="3D794651"/>
    <w:rsid w:val="3D8C6D07"/>
    <w:rsid w:val="3D947997"/>
    <w:rsid w:val="3DC84FD3"/>
    <w:rsid w:val="3DDA2813"/>
    <w:rsid w:val="3DEB3106"/>
    <w:rsid w:val="3E0F1B94"/>
    <w:rsid w:val="3E106D5C"/>
    <w:rsid w:val="3E503BEF"/>
    <w:rsid w:val="3E5C5C9A"/>
    <w:rsid w:val="3EFA61BB"/>
    <w:rsid w:val="3F037057"/>
    <w:rsid w:val="3F0E5202"/>
    <w:rsid w:val="3F171D6A"/>
    <w:rsid w:val="3F2D2E17"/>
    <w:rsid w:val="3F3B7314"/>
    <w:rsid w:val="3F5E5375"/>
    <w:rsid w:val="3F920F86"/>
    <w:rsid w:val="3FC30FF0"/>
    <w:rsid w:val="3FDF64CC"/>
    <w:rsid w:val="40491932"/>
    <w:rsid w:val="40516596"/>
    <w:rsid w:val="408A2036"/>
    <w:rsid w:val="40BA06B3"/>
    <w:rsid w:val="40BE58C5"/>
    <w:rsid w:val="40EB7283"/>
    <w:rsid w:val="40F620C0"/>
    <w:rsid w:val="412C000C"/>
    <w:rsid w:val="41317BA0"/>
    <w:rsid w:val="41351797"/>
    <w:rsid w:val="414D20AB"/>
    <w:rsid w:val="418B7BD5"/>
    <w:rsid w:val="41AA2BE3"/>
    <w:rsid w:val="41C70178"/>
    <w:rsid w:val="41F14991"/>
    <w:rsid w:val="41FD7189"/>
    <w:rsid w:val="42322EC9"/>
    <w:rsid w:val="42671E75"/>
    <w:rsid w:val="42B0545A"/>
    <w:rsid w:val="43320184"/>
    <w:rsid w:val="437849F9"/>
    <w:rsid w:val="43810DF8"/>
    <w:rsid w:val="438E7BDA"/>
    <w:rsid w:val="43E548CD"/>
    <w:rsid w:val="447A64B0"/>
    <w:rsid w:val="44B97171"/>
    <w:rsid w:val="44C1472D"/>
    <w:rsid w:val="44CF0F69"/>
    <w:rsid w:val="44EA6E61"/>
    <w:rsid w:val="451A3F70"/>
    <w:rsid w:val="4530459E"/>
    <w:rsid w:val="455F620C"/>
    <w:rsid w:val="45685681"/>
    <w:rsid w:val="460E01A7"/>
    <w:rsid w:val="46507D44"/>
    <w:rsid w:val="467C68B4"/>
    <w:rsid w:val="472A3C46"/>
    <w:rsid w:val="47514506"/>
    <w:rsid w:val="4751654D"/>
    <w:rsid w:val="476B4B41"/>
    <w:rsid w:val="47816245"/>
    <w:rsid w:val="47E260CF"/>
    <w:rsid w:val="47E51C29"/>
    <w:rsid w:val="47E82329"/>
    <w:rsid w:val="47E856B4"/>
    <w:rsid w:val="4811792D"/>
    <w:rsid w:val="481674BF"/>
    <w:rsid w:val="48274AEC"/>
    <w:rsid w:val="4861104C"/>
    <w:rsid w:val="48662F81"/>
    <w:rsid w:val="486763D9"/>
    <w:rsid w:val="4873054D"/>
    <w:rsid w:val="48B07B2D"/>
    <w:rsid w:val="48FA7C43"/>
    <w:rsid w:val="490E45F2"/>
    <w:rsid w:val="493A7700"/>
    <w:rsid w:val="493E1722"/>
    <w:rsid w:val="4946228A"/>
    <w:rsid w:val="494D274E"/>
    <w:rsid w:val="49592085"/>
    <w:rsid w:val="4981750C"/>
    <w:rsid w:val="498B0CE0"/>
    <w:rsid w:val="49F56FCC"/>
    <w:rsid w:val="49F928D0"/>
    <w:rsid w:val="4A1B2797"/>
    <w:rsid w:val="4A5300E0"/>
    <w:rsid w:val="4A82565F"/>
    <w:rsid w:val="4AC90137"/>
    <w:rsid w:val="4B582F60"/>
    <w:rsid w:val="4B61467A"/>
    <w:rsid w:val="4B6F3060"/>
    <w:rsid w:val="4B8E66EF"/>
    <w:rsid w:val="4BA87748"/>
    <w:rsid w:val="4BCD333B"/>
    <w:rsid w:val="4BCF0AEE"/>
    <w:rsid w:val="4BDE5DF3"/>
    <w:rsid w:val="4BF669E4"/>
    <w:rsid w:val="4BFB2CF6"/>
    <w:rsid w:val="4BFE3487"/>
    <w:rsid w:val="4C2D206A"/>
    <w:rsid w:val="4C4C1F46"/>
    <w:rsid w:val="4C5E75AD"/>
    <w:rsid w:val="4CCE4EBD"/>
    <w:rsid w:val="4CF3466E"/>
    <w:rsid w:val="4D177296"/>
    <w:rsid w:val="4D2E34E0"/>
    <w:rsid w:val="4D935D2E"/>
    <w:rsid w:val="4DE14866"/>
    <w:rsid w:val="4E421C97"/>
    <w:rsid w:val="4E533344"/>
    <w:rsid w:val="4EA43A9F"/>
    <w:rsid w:val="4F34595B"/>
    <w:rsid w:val="4F4A348F"/>
    <w:rsid w:val="50755DD5"/>
    <w:rsid w:val="50B769E4"/>
    <w:rsid w:val="50BA41B1"/>
    <w:rsid w:val="511A0DB6"/>
    <w:rsid w:val="51254C81"/>
    <w:rsid w:val="517B0774"/>
    <w:rsid w:val="51F411FA"/>
    <w:rsid w:val="526C77D7"/>
    <w:rsid w:val="5274193A"/>
    <w:rsid w:val="52FE4F0B"/>
    <w:rsid w:val="53045C41"/>
    <w:rsid w:val="53322219"/>
    <w:rsid w:val="534469AF"/>
    <w:rsid w:val="535813CD"/>
    <w:rsid w:val="535A657B"/>
    <w:rsid w:val="536B2998"/>
    <w:rsid w:val="537B5903"/>
    <w:rsid w:val="53FD2CD0"/>
    <w:rsid w:val="5471399E"/>
    <w:rsid w:val="549D1EB0"/>
    <w:rsid w:val="54C73F50"/>
    <w:rsid w:val="550B3C00"/>
    <w:rsid w:val="552A7BC8"/>
    <w:rsid w:val="559B37B2"/>
    <w:rsid w:val="559D01B3"/>
    <w:rsid w:val="55E36D0B"/>
    <w:rsid w:val="56066326"/>
    <w:rsid w:val="56D94B4D"/>
    <w:rsid w:val="571F78F3"/>
    <w:rsid w:val="57235785"/>
    <w:rsid w:val="575E3F1C"/>
    <w:rsid w:val="57AE28EC"/>
    <w:rsid w:val="57ED1903"/>
    <w:rsid w:val="58124DC3"/>
    <w:rsid w:val="584A60C0"/>
    <w:rsid w:val="589659CA"/>
    <w:rsid w:val="58BF398F"/>
    <w:rsid w:val="58DE262B"/>
    <w:rsid w:val="59044790"/>
    <w:rsid w:val="592572CA"/>
    <w:rsid w:val="5A3A7419"/>
    <w:rsid w:val="5A5A1E61"/>
    <w:rsid w:val="5A81253D"/>
    <w:rsid w:val="5AD9687D"/>
    <w:rsid w:val="5AE6005A"/>
    <w:rsid w:val="5B411E5D"/>
    <w:rsid w:val="5BAE3EB0"/>
    <w:rsid w:val="5C07441B"/>
    <w:rsid w:val="5C0D07BD"/>
    <w:rsid w:val="5C2D2AB6"/>
    <w:rsid w:val="5C4D4D14"/>
    <w:rsid w:val="5C5263DE"/>
    <w:rsid w:val="5C6F397E"/>
    <w:rsid w:val="5CA24E74"/>
    <w:rsid w:val="5CE83E90"/>
    <w:rsid w:val="5CF87558"/>
    <w:rsid w:val="5D317E0F"/>
    <w:rsid w:val="5D4D49D6"/>
    <w:rsid w:val="5D79399F"/>
    <w:rsid w:val="5DC74DE1"/>
    <w:rsid w:val="5DFD7A64"/>
    <w:rsid w:val="5E103825"/>
    <w:rsid w:val="5E1C664B"/>
    <w:rsid w:val="5E215E49"/>
    <w:rsid w:val="5E3E6161"/>
    <w:rsid w:val="5E723019"/>
    <w:rsid w:val="5EAB06A5"/>
    <w:rsid w:val="5F0E0117"/>
    <w:rsid w:val="5F117629"/>
    <w:rsid w:val="5F730868"/>
    <w:rsid w:val="5F9F4716"/>
    <w:rsid w:val="5FA25E50"/>
    <w:rsid w:val="5FC9626D"/>
    <w:rsid w:val="60014ABB"/>
    <w:rsid w:val="60050DD3"/>
    <w:rsid w:val="603C5ED5"/>
    <w:rsid w:val="606C5570"/>
    <w:rsid w:val="609D0AC8"/>
    <w:rsid w:val="60A77EDE"/>
    <w:rsid w:val="60D240A2"/>
    <w:rsid w:val="60E81B5D"/>
    <w:rsid w:val="60EB7288"/>
    <w:rsid w:val="61187A15"/>
    <w:rsid w:val="613655DF"/>
    <w:rsid w:val="613F7C8B"/>
    <w:rsid w:val="61A61FBB"/>
    <w:rsid w:val="622814F0"/>
    <w:rsid w:val="62593D94"/>
    <w:rsid w:val="627B024C"/>
    <w:rsid w:val="638220DD"/>
    <w:rsid w:val="63AB62C9"/>
    <w:rsid w:val="63BF6533"/>
    <w:rsid w:val="63F90E6D"/>
    <w:rsid w:val="63FF170A"/>
    <w:rsid w:val="643C66ED"/>
    <w:rsid w:val="64486E34"/>
    <w:rsid w:val="64750162"/>
    <w:rsid w:val="64CD637E"/>
    <w:rsid w:val="64EC0EFA"/>
    <w:rsid w:val="650C6EA7"/>
    <w:rsid w:val="650F148F"/>
    <w:rsid w:val="655C173A"/>
    <w:rsid w:val="655D3412"/>
    <w:rsid w:val="66121A75"/>
    <w:rsid w:val="66206807"/>
    <w:rsid w:val="6640491C"/>
    <w:rsid w:val="66BB2251"/>
    <w:rsid w:val="66D435C2"/>
    <w:rsid w:val="67416D32"/>
    <w:rsid w:val="67A57890"/>
    <w:rsid w:val="67A905C7"/>
    <w:rsid w:val="67B977EF"/>
    <w:rsid w:val="6802374F"/>
    <w:rsid w:val="683B7444"/>
    <w:rsid w:val="683F1510"/>
    <w:rsid w:val="688370CD"/>
    <w:rsid w:val="68AB2F07"/>
    <w:rsid w:val="68C835DF"/>
    <w:rsid w:val="68EE415B"/>
    <w:rsid w:val="69406A59"/>
    <w:rsid w:val="69A825EB"/>
    <w:rsid w:val="69A94F6A"/>
    <w:rsid w:val="69EF3A68"/>
    <w:rsid w:val="6A37337F"/>
    <w:rsid w:val="6AAC0A2E"/>
    <w:rsid w:val="6AFD7FF7"/>
    <w:rsid w:val="6B310A25"/>
    <w:rsid w:val="6B331C8F"/>
    <w:rsid w:val="6B4D10E3"/>
    <w:rsid w:val="6B8F059E"/>
    <w:rsid w:val="6BC75D6A"/>
    <w:rsid w:val="6C6C46CF"/>
    <w:rsid w:val="6CA860B5"/>
    <w:rsid w:val="6CF46964"/>
    <w:rsid w:val="6D0C10F7"/>
    <w:rsid w:val="6D4D4498"/>
    <w:rsid w:val="6D8617C0"/>
    <w:rsid w:val="6DDE27D0"/>
    <w:rsid w:val="6E0C201B"/>
    <w:rsid w:val="6E111C91"/>
    <w:rsid w:val="6E2540E6"/>
    <w:rsid w:val="6E3C1431"/>
    <w:rsid w:val="6E623FC4"/>
    <w:rsid w:val="6EEC05C4"/>
    <w:rsid w:val="6F0D069C"/>
    <w:rsid w:val="6F2614AD"/>
    <w:rsid w:val="6F36481E"/>
    <w:rsid w:val="6F700E2B"/>
    <w:rsid w:val="6FDD2296"/>
    <w:rsid w:val="6FFA7FF3"/>
    <w:rsid w:val="702C2EAD"/>
    <w:rsid w:val="704950EA"/>
    <w:rsid w:val="70B646B2"/>
    <w:rsid w:val="70FA12BF"/>
    <w:rsid w:val="715E4F2E"/>
    <w:rsid w:val="71950A52"/>
    <w:rsid w:val="719D2FA2"/>
    <w:rsid w:val="719E1196"/>
    <w:rsid w:val="71A81EEF"/>
    <w:rsid w:val="71CA07BD"/>
    <w:rsid w:val="71EF08C0"/>
    <w:rsid w:val="72175EC4"/>
    <w:rsid w:val="726614CA"/>
    <w:rsid w:val="72713BD9"/>
    <w:rsid w:val="72A76788"/>
    <w:rsid w:val="72B10E82"/>
    <w:rsid w:val="72CB3CAC"/>
    <w:rsid w:val="72ED586B"/>
    <w:rsid w:val="73017BC9"/>
    <w:rsid w:val="73181CD0"/>
    <w:rsid w:val="732F462C"/>
    <w:rsid w:val="73426B2A"/>
    <w:rsid w:val="735F7F9D"/>
    <w:rsid w:val="737934A2"/>
    <w:rsid w:val="73A97FA1"/>
    <w:rsid w:val="73D72D76"/>
    <w:rsid w:val="74620243"/>
    <w:rsid w:val="7475039B"/>
    <w:rsid w:val="74C436A5"/>
    <w:rsid w:val="75033AEB"/>
    <w:rsid w:val="751A3C71"/>
    <w:rsid w:val="752F7328"/>
    <w:rsid w:val="754D4A0B"/>
    <w:rsid w:val="75517434"/>
    <w:rsid w:val="757A05B0"/>
    <w:rsid w:val="757C7F8A"/>
    <w:rsid w:val="758D759A"/>
    <w:rsid w:val="75BD20E1"/>
    <w:rsid w:val="75FB73BB"/>
    <w:rsid w:val="769679F2"/>
    <w:rsid w:val="76FB6D7B"/>
    <w:rsid w:val="774A04E8"/>
    <w:rsid w:val="77587608"/>
    <w:rsid w:val="7780195B"/>
    <w:rsid w:val="778B6844"/>
    <w:rsid w:val="77D21664"/>
    <w:rsid w:val="77E713EB"/>
    <w:rsid w:val="784F3A50"/>
    <w:rsid w:val="786F74DC"/>
    <w:rsid w:val="78915B36"/>
    <w:rsid w:val="78E1125F"/>
    <w:rsid w:val="79024315"/>
    <w:rsid w:val="792979DA"/>
    <w:rsid w:val="793A2870"/>
    <w:rsid w:val="793D76F7"/>
    <w:rsid w:val="79464E14"/>
    <w:rsid w:val="7952184F"/>
    <w:rsid w:val="79854CEA"/>
    <w:rsid w:val="79F26992"/>
    <w:rsid w:val="7A0E5D19"/>
    <w:rsid w:val="7AED2DCE"/>
    <w:rsid w:val="7B13112B"/>
    <w:rsid w:val="7B22638A"/>
    <w:rsid w:val="7B4316EB"/>
    <w:rsid w:val="7B8466C6"/>
    <w:rsid w:val="7B9826D1"/>
    <w:rsid w:val="7B9A22FE"/>
    <w:rsid w:val="7BD6383B"/>
    <w:rsid w:val="7BFC6A34"/>
    <w:rsid w:val="7C8576F5"/>
    <w:rsid w:val="7CAC1950"/>
    <w:rsid w:val="7D2D2BED"/>
    <w:rsid w:val="7D706AD2"/>
    <w:rsid w:val="7D72015D"/>
    <w:rsid w:val="7D8F060E"/>
    <w:rsid w:val="7DA42CC5"/>
    <w:rsid w:val="7DB341A2"/>
    <w:rsid w:val="7DD81CFC"/>
    <w:rsid w:val="7DE051B4"/>
    <w:rsid w:val="7E3D2E66"/>
    <w:rsid w:val="7E5C0DC2"/>
    <w:rsid w:val="7E927F10"/>
    <w:rsid w:val="7EBA6561"/>
    <w:rsid w:val="7ED71E0F"/>
    <w:rsid w:val="7F0D36AB"/>
    <w:rsid w:val="7F4A2C46"/>
    <w:rsid w:val="7F757492"/>
    <w:rsid w:val="7F9F08AF"/>
    <w:rsid w:val="7FED79CB"/>
    <w:rsid w:val="7FF269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94"/>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link w:val="95"/>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4">
    <w:name w:val="heading 3"/>
    <w:basedOn w:val="1"/>
    <w:next w:val="1"/>
    <w:link w:val="96"/>
    <w:qFormat/>
    <w:uiPriority w:val="99"/>
    <w:pPr>
      <w:keepNext/>
      <w:keepLines/>
      <w:widowControl w:val="0"/>
      <w:spacing w:before="260" w:after="260" w:line="415" w:lineRule="auto"/>
      <w:jc w:val="both"/>
      <w:outlineLvl w:val="2"/>
    </w:pPr>
    <w:rPr>
      <w:rFonts w:cs="Times New Roman"/>
      <w:b/>
      <w:bCs/>
      <w:sz w:val="32"/>
      <w:szCs w:val="32"/>
    </w:rPr>
  </w:style>
  <w:style w:type="paragraph" w:styleId="5">
    <w:name w:val="heading 4"/>
    <w:basedOn w:val="1"/>
    <w:next w:val="1"/>
    <w:link w:val="97"/>
    <w:autoRedefine/>
    <w:qFormat/>
    <w:uiPriority w:val="99"/>
    <w:pPr>
      <w:keepNext/>
      <w:keepLines/>
      <w:widowControl w:val="0"/>
      <w:spacing w:before="280" w:after="290" w:line="374" w:lineRule="auto"/>
      <w:jc w:val="both"/>
      <w:outlineLvl w:val="3"/>
    </w:pPr>
    <w:rPr>
      <w:rFonts w:ascii="Arial" w:hAnsi="Arial" w:eastAsia="黑体" w:cs="Times New Roman"/>
      <w:b/>
      <w:bCs/>
      <w:sz w:val="28"/>
      <w:szCs w:val="28"/>
    </w:rPr>
  </w:style>
  <w:style w:type="paragraph" w:styleId="6">
    <w:name w:val="heading 5"/>
    <w:basedOn w:val="1"/>
    <w:next w:val="1"/>
    <w:link w:val="98"/>
    <w:qFormat/>
    <w:uiPriority w:val="99"/>
    <w:pPr>
      <w:keepNext/>
      <w:keepLines/>
      <w:widowControl w:val="0"/>
      <w:spacing w:before="280" w:after="290" w:line="372" w:lineRule="auto"/>
      <w:jc w:val="both"/>
      <w:outlineLvl w:val="4"/>
    </w:pPr>
    <w:rPr>
      <w:rFonts w:ascii="Times New Roman" w:hAnsi="Times New Roman" w:cs="Times New Roman"/>
      <w:b/>
      <w:sz w:val="28"/>
      <w:szCs w:val="20"/>
    </w:rPr>
  </w:style>
  <w:style w:type="paragraph" w:styleId="7">
    <w:name w:val="heading 6"/>
    <w:basedOn w:val="1"/>
    <w:next w:val="1"/>
    <w:link w:val="99"/>
    <w:autoRedefine/>
    <w:qFormat/>
    <w:uiPriority w:val="99"/>
    <w:pPr>
      <w:keepNext/>
      <w:keepLines/>
      <w:tabs>
        <w:tab w:val="left" w:pos="1440"/>
      </w:tabs>
      <w:spacing w:before="240" w:after="64" w:line="319" w:lineRule="auto"/>
      <w:ind w:left="1152" w:hanging="1152"/>
      <w:outlineLvl w:val="5"/>
    </w:pPr>
    <w:rPr>
      <w:rFonts w:ascii="Arial" w:hAnsi="Arial" w:eastAsia="黑体" w:cs="Times New Roman"/>
      <w:b/>
      <w:bCs/>
    </w:rPr>
  </w:style>
  <w:style w:type="paragraph" w:styleId="8">
    <w:name w:val="heading 7"/>
    <w:basedOn w:val="1"/>
    <w:next w:val="1"/>
    <w:link w:val="100"/>
    <w:qFormat/>
    <w:uiPriority w:val="99"/>
    <w:pPr>
      <w:keepNext/>
      <w:keepLines/>
      <w:tabs>
        <w:tab w:val="left" w:pos="2520"/>
      </w:tabs>
      <w:spacing w:before="240" w:after="64" w:line="319" w:lineRule="auto"/>
      <w:ind w:left="1296" w:hanging="1296"/>
      <w:outlineLvl w:val="6"/>
    </w:pPr>
    <w:rPr>
      <w:rFonts w:ascii="Times New Roman" w:hAnsi="Times New Roman" w:cs="Times New Roman"/>
      <w:b/>
      <w:bCs/>
    </w:rPr>
  </w:style>
  <w:style w:type="paragraph" w:styleId="9">
    <w:name w:val="heading 8"/>
    <w:basedOn w:val="1"/>
    <w:next w:val="1"/>
    <w:link w:val="101"/>
    <w:autoRedefine/>
    <w:qFormat/>
    <w:uiPriority w:val="99"/>
    <w:pPr>
      <w:keepNext/>
      <w:keepLines/>
      <w:tabs>
        <w:tab w:val="left" w:pos="1440"/>
      </w:tabs>
      <w:spacing w:before="240" w:after="64" w:line="319" w:lineRule="auto"/>
      <w:ind w:left="1440" w:hanging="1440"/>
      <w:outlineLvl w:val="7"/>
    </w:pPr>
    <w:rPr>
      <w:rFonts w:ascii="Arial" w:hAnsi="Arial" w:eastAsia="黑体" w:cs="Times New Roman"/>
    </w:rPr>
  </w:style>
  <w:style w:type="paragraph" w:styleId="10">
    <w:name w:val="heading 9"/>
    <w:basedOn w:val="1"/>
    <w:next w:val="1"/>
    <w:link w:val="102"/>
    <w:qFormat/>
    <w:uiPriority w:val="99"/>
    <w:pPr>
      <w:keepNext/>
      <w:keepLines/>
      <w:tabs>
        <w:tab w:val="left" w:pos="1584"/>
      </w:tabs>
      <w:spacing w:before="240" w:after="64" w:line="319" w:lineRule="auto"/>
      <w:ind w:left="1584" w:hanging="1584"/>
      <w:outlineLvl w:val="8"/>
    </w:pPr>
    <w:rPr>
      <w:rFonts w:ascii="Arial" w:hAnsi="Arial" w:eastAsia="黑体" w:cs="Times New Roman"/>
      <w:sz w:val="20"/>
      <w:szCs w:val="21"/>
    </w:rPr>
  </w:style>
  <w:style w:type="character" w:default="1" w:styleId="48">
    <w:name w:val="Default Paragraph Font"/>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widowControl w:val="0"/>
      <w:ind w:left="2520" w:leftChars="1200"/>
      <w:jc w:val="both"/>
    </w:pPr>
    <w:rPr>
      <w:rFonts w:ascii="Calibri" w:hAnsi="Calibri" w:cs="Times New Roman"/>
      <w:kern w:val="2"/>
      <w:sz w:val="21"/>
      <w:szCs w:val="22"/>
    </w:rPr>
  </w:style>
  <w:style w:type="paragraph" w:styleId="12">
    <w:name w:val="Normal Indent"/>
    <w:basedOn w:val="1"/>
    <w:link w:val="103"/>
    <w:autoRedefine/>
    <w:qFormat/>
    <w:uiPriority w:val="99"/>
    <w:pPr>
      <w:widowControl w:val="0"/>
      <w:ind w:firstLine="420" w:firstLineChars="200"/>
      <w:jc w:val="both"/>
    </w:pPr>
    <w:rPr>
      <w:rFonts w:cs="Times New Roman"/>
      <w:szCs w:val="20"/>
    </w:rPr>
  </w:style>
  <w:style w:type="paragraph" w:styleId="13">
    <w:name w:val="caption"/>
    <w:basedOn w:val="1"/>
    <w:next w:val="1"/>
    <w:autoRedefine/>
    <w:qFormat/>
    <w:uiPriority w:val="99"/>
    <w:pPr>
      <w:widowControl w:val="0"/>
      <w:jc w:val="both"/>
    </w:pPr>
    <w:rPr>
      <w:rFonts w:ascii="Cambria" w:hAnsi="Cambria" w:eastAsia="黑体" w:cs="Times New Roman"/>
      <w:kern w:val="2"/>
      <w:sz w:val="20"/>
      <w:szCs w:val="20"/>
    </w:rPr>
  </w:style>
  <w:style w:type="paragraph" w:styleId="14">
    <w:name w:val="Document Map"/>
    <w:basedOn w:val="1"/>
    <w:link w:val="104"/>
    <w:autoRedefine/>
    <w:qFormat/>
    <w:uiPriority w:val="99"/>
    <w:pPr>
      <w:widowControl w:val="0"/>
      <w:shd w:val="clear" w:color="auto" w:fill="000080"/>
      <w:jc w:val="both"/>
    </w:pPr>
    <w:rPr>
      <w:rFonts w:ascii="Times New Roman" w:hAnsi="Times New Roman" w:cs="Times New Roman"/>
    </w:rPr>
  </w:style>
  <w:style w:type="paragraph" w:styleId="15">
    <w:name w:val="annotation text"/>
    <w:basedOn w:val="1"/>
    <w:link w:val="105"/>
    <w:autoRedefine/>
    <w:qFormat/>
    <w:uiPriority w:val="99"/>
    <w:pPr>
      <w:widowControl w:val="0"/>
    </w:pPr>
    <w:rPr>
      <w:rFonts w:ascii="Calibri" w:hAnsi="Calibri" w:cs="Times New Roman"/>
    </w:rPr>
  </w:style>
  <w:style w:type="paragraph" w:styleId="16">
    <w:name w:val="Salutation"/>
    <w:basedOn w:val="1"/>
    <w:next w:val="1"/>
    <w:link w:val="106"/>
    <w:autoRedefine/>
    <w:qFormat/>
    <w:uiPriority w:val="99"/>
    <w:pPr>
      <w:widowControl w:val="0"/>
      <w:jc w:val="both"/>
    </w:pPr>
    <w:rPr>
      <w:rFonts w:ascii="Times New Roman" w:hAnsi="Times New Roman" w:cs="Times New Roman"/>
      <w:sz w:val="28"/>
    </w:rPr>
  </w:style>
  <w:style w:type="paragraph" w:styleId="17">
    <w:name w:val="Body Text 3"/>
    <w:basedOn w:val="1"/>
    <w:link w:val="107"/>
    <w:autoRedefine/>
    <w:qFormat/>
    <w:uiPriority w:val="99"/>
    <w:pPr>
      <w:widowControl w:val="0"/>
      <w:jc w:val="both"/>
    </w:pPr>
    <w:rPr>
      <w:rFonts w:hAnsi="Times New Roman" w:cs="Times New Roman"/>
      <w:sz w:val="20"/>
      <w:szCs w:val="20"/>
    </w:rPr>
  </w:style>
  <w:style w:type="paragraph" w:styleId="18">
    <w:name w:val="Body Text"/>
    <w:basedOn w:val="1"/>
    <w:link w:val="108"/>
    <w:autoRedefine/>
    <w:qFormat/>
    <w:uiPriority w:val="99"/>
    <w:pPr>
      <w:widowControl w:val="0"/>
      <w:spacing w:after="120"/>
      <w:jc w:val="both"/>
    </w:pPr>
    <w:rPr>
      <w:rFonts w:ascii="Times New Roman" w:hAnsi="Times New Roman" w:cs="Times New Roman"/>
    </w:rPr>
  </w:style>
  <w:style w:type="paragraph" w:styleId="19">
    <w:name w:val="Body Text Indent"/>
    <w:basedOn w:val="1"/>
    <w:link w:val="92"/>
    <w:autoRedefine/>
    <w:qFormat/>
    <w:uiPriority w:val="99"/>
    <w:pPr>
      <w:widowControl w:val="0"/>
      <w:spacing w:after="120"/>
      <w:ind w:left="420" w:leftChars="200"/>
      <w:jc w:val="both"/>
    </w:pPr>
    <w:rPr>
      <w:rFonts w:ascii="Times New Roman" w:hAnsi="Times New Roman" w:cs="Times New Roman"/>
    </w:rPr>
  </w:style>
  <w:style w:type="paragraph" w:styleId="20">
    <w:name w:val="List 2"/>
    <w:basedOn w:val="1"/>
    <w:autoRedefine/>
    <w:qFormat/>
    <w:uiPriority w:val="99"/>
    <w:pPr>
      <w:widowControl w:val="0"/>
      <w:ind w:left="100" w:leftChars="200" w:hanging="200" w:hangingChars="200"/>
      <w:jc w:val="both"/>
    </w:pPr>
    <w:rPr>
      <w:rFonts w:ascii="Times New Roman" w:hAnsi="Times New Roman" w:cs="Times New Roman"/>
      <w:kern w:val="2"/>
      <w:sz w:val="21"/>
    </w:rPr>
  </w:style>
  <w:style w:type="paragraph" w:styleId="21">
    <w:name w:val="index 4"/>
    <w:basedOn w:val="1"/>
    <w:next w:val="1"/>
    <w:autoRedefine/>
    <w:qFormat/>
    <w:uiPriority w:val="99"/>
    <w:pPr>
      <w:widowControl w:val="0"/>
      <w:ind w:left="600" w:leftChars="600"/>
      <w:jc w:val="both"/>
    </w:pPr>
    <w:rPr>
      <w:rFonts w:ascii="Times New Roman" w:hAnsi="Times New Roman" w:cs="Times New Roman"/>
      <w:kern w:val="2"/>
      <w:sz w:val="21"/>
    </w:rPr>
  </w:style>
  <w:style w:type="paragraph" w:styleId="22">
    <w:name w:val="toc 5"/>
    <w:basedOn w:val="1"/>
    <w:next w:val="1"/>
    <w:autoRedefine/>
    <w:qFormat/>
    <w:uiPriority w:val="99"/>
    <w:pPr>
      <w:widowControl w:val="0"/>
      <w:ind w:left="1680" w:leftChars="800"/>
      <w:jc w:val="both"/>
    </w:pPr>
    <w:rPr>
      <w:rFonts w:ascii="Times New Roman" w:hAnsi="Times New Roman" w:cs="Times New Roman"/>
      <w:kern w:val="2"/>
      <w:sz w:val="21"/>
      <w:szCs w:val="20"/>
    </w:rPr>
  </w:style>
  <w:style w:type="paragraph" w:styleId="23">
    <w:name w:val="toc 3"/>
    <w:basedOn w:val="1"/>
    <w:next w:val="1"/>
    <w:autoRedefine/>
    <w:qFormat/>
    <w:uiPriority w:val="99"/>
    <w:pPr>
      <w:widowControl w:val="0"/>
      <w:ind w:left="840" w:leftChars="400"/>
      <w:jc w:val="both"/>
    </w:pPr>
    <w:rPr>
      <w:rFonts w:ascii="Times New Roman" w:hAnsi="Times New Roman" w:cs="Times New Roman"/>
      <w:kern w:val="2"/>
      <w:sz w:val="21"/>
      <w:szCs w:val="20"/>
    </w:rPr>
  </w:style>
  <w:style w:type="paragraph" w:styleId="24">
    <w:name w:val="Plain Text"/>
    <w:basedOn w:val="1"/>
    <w:link w:val="109"/>
    <w:autoRedefine/>
    <w:qFormat/>
    <w:uiPriority w:val="99"/>
    <w:pPr>
      <w:widowControl w:val="0"/>
      <w:jc w:val="both"/>
    </w:pPr>
    <w:rPr>
      <w:rFonts w:hAnsi="Courier New" w:cs="Times New Roman"/>
      <w:sz w:val="20"/>
      <w:szCs w:val="20"/>
    </w:rPr>
  </w:style>
  <w:style w:type="paragraph" w:styleId="25">
    <w:name w:val="toc 8"/>
    <w:basedOn w:val="1"/>
    <w:next w:val="1"/>
    <w:autoRedefine/>
    <w:qFormat/>
    <w:uiPriority w:val="99"/>
    <w:pPr>
      <w:widowControl w:val="0"/>
      <w:ind w:left="2940" w:leftChars="1400"/>
      <w:jc w:val="both"/>
    </w:pPr>
    <w:rPr>
      <w:rFonts w:ascii="Calibri" w:hAnsi="Calibri" w:cs="Times New Roman"/>
      <w:kern w:val="2"/>
      <w:sz w:val="21"/>
      <w:szCs w:val="22"/>
    </w:rPr>
  </w:style>
  <w:style w:type="paragraph" w:styleId="26">
    <w:name w:val="Date"/>
    <w:basedOn w:val="1"/>
    <w:next w:val="1"/>
    <w:link w:val="110"/>
    <w:autoRedefine/>
    <w:qFormat/>
    <w:uiPriority w:val="99"/>
    <w:pPr>
      <w:widowControl w:val="0"/>
      <w:ind w:left="100" w:leftChars="2500"/>
      <w:jc w:val="both"/>
    </w:pPr>
    <w:rPr>
      <w:rFonts w:ascii="Times New Roman" w:hAnsi="Times New Roman" w:cs="Times New Roman"/>
    </w:rPr>
  </w:style>
  <w:style w:type="paragraph" w:styleId="27">
    <w:name w:val="Body Text Indent 2"/>
    <w:basedOn w:val="1"/>
    <w:link w:val="111"/>
    <w:autoRedefine/>
    <w:qFormat/>
    <w:uiPriority w:val="99"/>
    <w:pPr>
      <w:widowControl w:val="0"/>
      <w:spacing w:after="120" w:line="480" w:lineRule="auto"/>
      <w:ind w:left="420" w:leftChars="200"/>
      <w:jc w:val="both"/>
    </w:pPr>
    <w:rPr>
      <w:rFonts w:ascii="Times New Roman" w:hAnsi="Times New Roman" w:cs="Times New Roman"/>
    </w:rPr>
  </w:style>
  <w:style w:type="paragraph" w:styleId="28">
    <w:name w:val="Balloon Text"/>
    <w:basedOn w:val="1"/>
    <w:link w:val="112"/>
    <w:autoRedefine/>
    <w:qFormat/>
    <w:uiPriority w:val="99"/>
    <w:pPr>
      <w:widowControl w:val="0"/>
      <w:jc w:val="both"/>
    </w:pPr>
    <w:rPr>
      <w:rFonts w:ascii="Calibri" w:hAnsi="Calibri" w:cs="Times New Roman"/>
      <w:sz w:val="18"/>
      <w:szCs w:val="18"/>
    </w:rPr>
  </w:style>
  <w:style w:type="paragraph" w:styleId="29">
    <w:name w:val="footer"/>
    <w:basedOn w:val="1"/>
    <w:link w:val="113"/>
    <w:autoRedefine/>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30">
    <w:name w:val="header"/>
    <w:basedOn w:val="1"/>
    <w:link w:val="1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31">
    <w:name w:val="toc 1"/>
    <w:basedOn w:val="1"/>
    <w:next w:val="1"/>
    <w:autoRedefine/>
    <w:qFormat/>
    <w:uiPriority w:val="99"/>
    <w:pPr>
      <w:widowControl w:val="0"/>
      <w:tabs>
        <w:tab w:val="right" w:leader="dot" w:pos="8296"/>
      </w:tabs>
      <w:spacing w:line="440" w:lineRule="exact"/>
      <w:jc w:val="both"/>
    </w:pPr>
    <w:rPr>
      <w:rFonts w:ascii="Times New Roman" w:hAnsi="Times New Roman" w:cs="Times New Roman"/>
      <w:kern w:val="2"/>
      <w:sz w:val="21"/>
      <w:szCs w:val="20"/>
    </w:rPr>
  </w:style>
  <w:style w:type="paragraph" w:styleId="32">
    <w:name w:val="toc 4"/>
    <w:basedOn w:val="1"/>
    <w:next w:val="1"/>
    <w:autoRedefine/>
    <w:qFormat/>
    <w:uiPriority w:val="9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33">
    <w:name w:val="Subtitle"/>
    <w:basedOn w:val="1"/>
    <w:next w:val="1"/>
    <w:link w:val="115"/>
    <w:autoRedefine/>
    <w:qFormat/>
    <w:uiPriority w:val="99"/>
    <w:pPr>
      <w:widowControl w:val="0"/>
      <w:spacing w:before="240" w:after="60" w:line="312" w:lineRule="auto"/>
      <w:jc w:val="center"/>
      <w:outlineLvl w:val="1"/>
    </w:pPr>
    <w:rPr>
      <w:rFonts w:ascii="Cambria" w:hAnsi="Cambria" w:cs="Times New Roman"/>
      <w:b/>
      <w:bCs/>
      <w:kern w:val="28"/>
      <w:sz w:val="32"/>
      <w:szCs w:val="32"/>
    </w:rPr>
  </w:style>
  <w:style w:type="paragraph" w:styleId="34">
    <w:name w:val="footnote text"/>
    <w:basedOn w:val="1"/>
    <w:link w:val="116"/>
    <w:autoRedefine/>
    <w:qFormat/>
    <w:uiPriority w:val="99"/>
    <w:pPr>
      <w:widowControl w:val="0"/>
      <w:jc w:val="both"/>
    </w:pPr>
    <w:rPr>
      <w:rFonts w:ascii="Times New Roman" w:hAnsi="Times New Roman" w:cs="Times New Roman"/>
      <w:sz w:val="20"/>
      <w:szCs w:val="20"/>
    </w:rPr>
  </w:style>
  <w:style w:type="paragraph" w:styleId="35">
    <w:name w:val="toc 6"/>
    <w:basedOn w:val="1"/>
    <w:next w:val="1"/>
    <w:autoRedefine/>
    <w:qFormat/>
    <w:uiPriority w:val="99"/>
    <w:pPr>
      <w:widowControl w:val="0"/>
      <w:ind w:left="2100" w:leftChars="1000"/>
      <w:jc w:val="both"/>
    </w:pPr>
    <w:rPr>
      <w:rFonts w:ascii="Calibri" w:hAnsi="Calibri" w:cs="Times New Roman"/>
      <w:kern w:val="2"/>
      <w:sz w:val="21"/>
      <w:szCs w:val="22"/>
    </w:rPr>
  </w:style>
  <w:style w:type="paragraph" w:styleId="36">
    <w:name w:val="Body Text Indent 3"/>
    <w:basedOn w:val="1"/>
    <w:link w:val="117"/>
    <w:autoRedefine/>
    <w:qFormat/>
    <w:uiPriority w:val="99"/>
    <w:pPr>
      <w:widowControl w:val="0"/>
      <w:spacing w:after="120"/>
      <w:ind w:left="420" w:leftChars="200"/>
      <w:jc w:val="both"/>
    </w:pPr>
    <w:rPr>
      <w:rFonts w:ascii="Times New Roman" w:hAnsi="Times New Roman" w:cs="Times New Roman"/>
      <w:sz w:val="16"/>
      <w:szCs w:val="16"/>
    </w:rPr>
  </w:style>
  <w:style w:type="paragraph" w:styleId="37">
    <w:name w:val="toc 2"/>
    <w:basedOn w:val="1"/>
    <w:next w:val="1"/>
    <w:autoRedefine/>
    <w:qFormat/>
    <w:uiPriority w:val="99"/>
    <w:pPr>
      <w:widowControl w:val="0"/>
      <w:ind w:left="420" w:leftChars="200"/>
      <w:jc w:val="both"/>
    </w:pPr>
    <w:rPr>
      <w:rFonts w:ascii="Times New Roman" w:hAnsi="Times New Roman" w:cs="Times New Roman"/>
      <w:kern w:val="2"/>
      <w:sz w:val="21"/>
      <w:szCs w:val="20"/>
    </w:rPr>
  </w:style>
  <w:style w:type="paragraph" w:styleId="38">
    <w:name w:val="toc 9"/>
    <w:basedOn w:val="1"/>
    <w:next w:val="1"/>
    <w:autoRedefine/>
    <w:qFormat/>
    <w:uiPriority w:val="99"/>
    <w:pPr>
      <w:widowControl w:val="0"/>
      <w:ind w:left="3360" w:leftChars="1600"/>
      <w:jc w:val="both"/>
    </w:pPr>
    <w:rPr>
      <w:rFonts w:ascii="Calibri" w:hAnsi="Calibri" w:cs="Times New Roman"/>
      <w:kern w:val="2"/>
      <w:sz w:val="21"/>
      <w:szCs w:val="22"/>
    </w:rPr>
  </w:style>
  <w:style w:type="paragraph" w:styleId="39">
    <w:name w:val="Body Text 2"/>
    <w:basedOn w:val="1"/>
    <w:link w:val="118"/>
    <w:autoRedefine/>
    <w:qFormat/>
    <w:uiPriority w:val="99"/>
    <w:pPr>
      <w:widowControl w:val="0"/>
    </w:pPr>
    <w:rPr>
      <w:rFonts w:hAnsi="Calibri" w:cs="Times New Roman"/>
      <w:color w:val="000000"/>
      <w:sz w:val="18"/>
      <w:szCs w:val="18"/>
    </w:rPr>
  </w:style>
  <w:style w:type="paragraph" w:styleId="40">
    <w:name w:val="List Continue 2"/>
    <w:basedOn w:val="1"/>
    <w:autoRedefine/>
    <w:qFormat/>
    <w:uiPriority w:val="99"/>
    <w:pPr>
      <w:widowControl w:val="0"/>
      <w:spacing w:after="120"/>
      <w:ind w:left="840" w:leftChars="400"/>
      <w:jc w:val="both"/>
    </w:pPr>
    <w:rPr>
      <w:rFonts w:ascii="Times New Roman" w:hAnsi="Times New Roman" w:cs="Times New Roman"/>
      <w:kern w:val="2"/>
      <w:sz w:val="21"/>
      <w:szCs w:val="20"/>
    </w:rPr>
  </w:style>
  <w:style w:type="paragraph" w:styleId="41">
    <w:name w:val="Normal (Web)"/>
    <w:basedOn w:val="1"/>
    <w:autoRedefine/>
    <w:qFormat/>
    <w:uiPriority w:val="99"/>
    <w:pPr>
      <w:spacing w:before="100" w:beforeAutospacing="1" w:after="100" w:afterAutospacing="1"/>
    </w:pPr>
  </w:style>
  <w:style w:type="paragraph" w:styleId="42">
    <w:name w:val="index 1"/>
    <w:basedOn w:val="1"/>
    <w:next w:val="1"/>
    <w:autoRedefine/>
    <w:qFormat/>
    <w:uiPriority w:val="99"/>
    <w:pPr>
      <w:widowControl w:val="0"/>
      <w:spacing w:line="220" w:lineRule="exact"/>
      <w:jc w:val="center"/>
    </w:pPr>
    <w:rPr>
      <w:rFonts w:ascii="仿宋_GB2312" w:hAnsi="Times New Roman" w:eastAsia="仿宋_GB2312" w:cs="Times New Roman"/>
      <w:kern w:val="2"/>
      <w:sz w:val="21"/>
      <w:szCs w:val="20"/>
    </w:rPr>
  </w:style>
  <w:style w:type="paragraph" w:styleId="43">
    <w:name w:val="Title"/>
    <w:basedOn w:val="1"/>
    <w:link w:val="119"/>
    <w:autoRedefine/>
    <w:qFormat/>
    <w:uiPriority w:val="99"/>
    <w:pPr>
      <w:widowControl w:val="0"/>
      <w:adjustRightInd w:val="0"/>
      <w:spacing w:before="240" w:after="60" w:line="420" w:lineRule="atLeast"/>
      <w:jc w:val="center"/>
      <w:outlineLvl w:val="0"/>
    </w:pPr>
    <w:rPr>
      <w:rFonts w:ascii="Arial" w:hAnsi="Arial" w:cs="Times New Roman"/>
      <w:b/>
      <w:sz w:val="32"/>
      <w:szCs w:val="20"/>
    </w:rPr>
  </w:style>
  <w:style w:type="paragraph" w:styleId="44">
    <w:name w:val="annotation subject"/>
    <w:basedOn w:val="15"/>
    <w:next w:val="15"/>
    <w:link w:val="120"/>
    <w:autoRedefine/>
    <w:qFormat/>
    <w:uiPriority w:val="99"/>
    <w:rPr>
      <w:b/>
      <w:bCs/>
    </w:rPr>
  </w:style>
  <w:style w:type="paragraph" w:styleId="45">
    <w:name w:val="Body Text First Indent 2"/>
    <w:basedOn w:val="19"/>
    <w:link w:val="93"/>
    <w:autoRedefine/>
    <w:qFormat/>
    <w:uiPriority w:val="99"/>
    <w:pPr>
      <w:ind w:firstLine="420" w:firstLineChars="200"/>
    </w:pPr>
  </w:style>
  <w:style w:type="table" w:styleId="47">
    <w:name w:val="Table Grid"/>
    <w:basedOn w:val="4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99"/>
    <w:rPr>
      <w:rFonts w:cs="Times New Roman"/>
      <w:b/>
    </w:rPr>
  </w:style>
  <w:style w:type="character" w:styleId="50">
    <w:name w:val="page number"/>
    <w:autoRedefine/>
    <w:qFormat/>
    <w:uiPriority w:val="0"/>
    <w:rPr>
      <w:rFonts w:cs="Times New Roman"/>
    </w:rPr>
  </w:style>
  <w:style w:type="character" w:styleId="51">
    <w:name w:val="FollowedHyperlink"/>
    <w:autoRedefine/>
    <w:qFormat/>
    <w:uiPriority w:val="99"/>
    <w:rPr>
      <w:rFonts w:cs="Times New Roman"/>
      <w:color w:val="800080"/>
      <w:u w:val="single"/>
    </w:rPr>
  </w:style>
  <w:style w:type="character" w:styleId="52">
    <w:name w:val="Emphasis"/>
    <w:basedOn w:val="48"/>
    <w:qFormat/>
    <w:uiPriority w:val="20"/>
  </w:style>
  <w:style w:type="character" w:styleId="53">
    <w:name w:val="Hyperlink"/>
    <w:autoRedefine/>
    <w:qFormat/>
    <w:uiPriority w:val="99"/>
    <w:rPr>
      <w:rFonts w:cs="Times New Roman"/>
      <w:color w:val="0000FF"/>
      <w:u w:val="single"/>
    </w:rPr>
  </w:style>
  <w:style w:type="character" w:styleId="54">
    <w:name w:val="annotation reference"/>
    <w:autoRedefine/>
    <w:qFormat/>
    <w:uiPriority w:val="99"/>
    <w:rPr>
      <w:rFonts w:cs="Times New Roman"/>
      <w:sz w:val="21"/>
      <w:szCs w:val="21"/>
    </w:rPr>
  </w:style>
  <w:style w:type="character" w:styleId="55">
    <w:name w:val="footnote reference"/>
    <w:autoRedefine/>
    <w:qFormat/>
    <w:uiPriority w:val="99"/>
    <w:rPr>
      <w:rFonts w:cs="Times New Roman"/>
      <w:vertAlign w:val="superscript"/>
    </w:rPr>
  </w:style>
  <w:style w:type="paragraph" w:customStyle="1" w:styleId="56">
    <w:name w:val="一级"/>
    <w:basedOn w:val="57"/>
    <w:link w:val="136"/>
    <w:autoRedefine/>
    <w:qFormat/>
    <w:uiPriority w:val="0"/>
    <w:pPr>
      <w:widowControl w:val="0"/>
      <w:jc w:val="center"/>
      <w:outlineLvl w:val="0"/>
    </w:pPr>
    <w:rPr>
      <w:rFonts w:ascii="宋体" w:hAnsi="宋体" w:eastAsia="宋体"/>
      <w:kern w:val="0"/>
      <w:sz w:val="32"/>
      <w:szCs w:val="32"/>
    </w:rPr>
  </w:style>
  <w:style w:type="paragraph" w:customStyle="1" w:styleId="57">
    <w:name w:val="样式2"/>
    <w:basedOn w:val="1"/>
    <w:link w:val="137"/>
    <w:autoRedefine/>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paragraph" w:customStyle="1" w:styleId="58">
    <w:name w:val="标题5"/>
    <w:basedOn w:val="4"/>
    <w:link w:val="141"/>
    <w:autoRedefine/>
    <w:qFormat/>
    <w:uiPriority w:val="99"/>
    <w:pPr>
      <w:spacing w:line="412" w:lineRule="auto"/>
    </w:pPr>
    <w:rPr>
      <w:rFonts w:ascii="Arial" w:hAnsi="Arial"/>
      <w:bCs w:val="0"/>
      <w:szCs w:val="20"/>
    </w:rPr>
  </w:style>
  <w:style w:type="paragraph" w:customStyle="1" w:styleId="59">
    <w:name w:val="三级"/>
    <w:basedOn w:val="60"/>
    <w:link w:val="146"/>
    <w:autoRedefine/>
    <w:qFormat/>
    <w:uiPriority w:val="0"/>
    <w:pPr>
      <w:widowControl w:val="0"/>
      <w:tabs>
        <w:tab w:val="left" w:pos="851"/>
      </w:tabs>
      <w:spacing w:after="80" w:line="360" w:lineRule="auto"/>
      <w:ind w:left="851" w:hanging="851"/>
      <w:jc w:val="both"/>
      <w:outlineLvl w:val="3"/>
    </w:pPr>
    <w:rPr>
      <w:rFonts w:ascii="宋体" w:hAnsi="宋体" w:eastAsia="宋体"/>
      <w:szCs w:val="24"/>
    </w:rPr>
  </w:style>
  <w:style w:type="paragraph" w:customStyle="1" w:styleId="60">
    <w:name w:val="A标题4"/>
    <w:basedOn w:val="5"/>
    <w:next w:val="1"/>
    <w:autoRedefine/>
    <w:qFormat/>
    <w:uiPriority w:val="0"/>
    <w:pPr>
      <w:keepNext w:val="0"/>
      <w:keepLines w:val="0"/>
      <w:tabs>
        <w:tab w:val="left" w:pos="851"/>
      </w:tabs>
      <w:spacing w:before="0" w:after="80" w:line="360" w:lineRule="auto"/>
      <w:ind w:left="851" w:hanging="851"/>
    </w:pPr>
    <w:rPr>
      <w:sz w:val="24"/>
    </w:rPr>
  </w:style>
  <w:style w:type="paragraph" w:customStyle="1" w:styleId="61">
    <w:name w:val="样式 标题 2 + Times New Roman 四号 非加粗 段前: 5 磅 段后: 0 磅 行距: 固定值 20..."/>
    <w:basedOn w:val="3"/>
    <w:link w:val="155"/>
    <w:autoRedefine/>
    <w:qFormat/>
    <w:uiPriority w:val="99"/>
    <w:pPr>
      <w:spacing w:before="100" w:after="0" w:line="400" w:lineRule="exact"/>
    </w:pPr>
    <w:rPr>
      <w:rFonts w:ascii="Times New Roman" w:hAnsi="Times New Roman"/>
      <w:b w:val="0"/>
      <w:bCs w:val="0"/>
      <w:sz w:val="20"/>
      <w:szCs w:val="20"/>
    </w:rPr>
  </w:style>
  <w:style w:type="paragraph" w:styleId="62">
    <w:name w:val="Intense Quote"/>
    <w:basedOn w:val="1"/>
    <w:next w:val="1"/>
    <w:link w:val="163"/>
    <w:autoRedefine/>
    <w:qFormat/>
    <w:uiPriority w:val="99"/>
    <w:pPr>
      <w:widowControl w:val="0"/>
      <w:pBdr>
        <w:bottom w:val="single" w:color="4F81BD" w:sz="4" w:space="4"/>
      </w:pBdr>
      <w:spacing w:before="200" w:after="280"/>
      <w:ind w:left="936" w:right="936"/>
      <w:jc w:val="both"/>
    </w:pPr>
    <w:rPr>
      <w:rFonts w:ascii="Calibri" w:hAnsi="Calibri" w:cs="Times New Roman"/>
      <w:b/>
      <w:bCs/>
      <w:i/>
      <w:iCs/>
      <w:color w:val="4F81BD"/>
      <w:sz w:val="20"/>
      <w:szCs w:val="20"/>
    </w:rPr>
  </w:style>
  <w:style w:type="paragraph" w:customStyle="1" w:styleId="63">
    <w:name w:val="正文1"/>
    <w:basedOn w:val="1"/>
    <w:link w:val="164"/>
    <w:autoRedefine/>
    <w:qFormat/>
    <w:uiPriority w:val="99"/>
    <w:pPr>
      <w:widowControl w:val="0"/>
      <w:jc w:val="both"/>
    </w:pPr>
    <w:rPr>
      <w:rFonts w:ascii="Times New Roman" w:hAnsi="Times New Roman" w:cs="Times New Roman"/>
      <w:sz w:val="20"/>
      <w:szCs w:val="20"/>
    </w:rPr>
  </w:style>
  <w:style w:type="paragraph" w:customStyle="1" w:styleId="64">
    <w:name w:val="二级"/>
    <w:basedOn w:val="60"/>
    <w:link w:val="184"/>
    <w:autoRedefine/>
    <w:qFormat/>
    <w:uiPriority w:val="0"/>
    <w:pPr>
      <w:widowControl w:val="0"/>
      <w:spacing w:after="80" w:line="360" w:lineRule="auto"/>
      <w:ind w:left="851" w:hanging="851"/>
      <w:jc w:val="center"/>
      <w:outlineLvl w:val="3"/>
    </w:pPr>
    <w:rPr>
      <w:rFonts w:ascii="宋体" w:hAnsi="宋体" w:eastAsia="宋体"/>
      <w:sz w:val="28"/>
    </w:rPr>
  </w:style>
  <w:style w:type="paragraph" w:styleId="65">
    <w:name w:val="Quote"/>
    <w:basedOn w:val="1"/>
    <w:next w:val="1"/>
    <w:link w:val="189"/>
    <w:autoRedefine/>
    <w:qFormat/>
    <w:uiPriority w:val="99"/>
    <w:pPr>
      <w:widowControl w:val="0"/>
      <w:jc w:val="both"/>
    </w:pPr>
    <w:rPr>
      <w:rFonts w:ascii="Calibri" w:hAnsi="Calibri" w:cs="Times New Roman"/>
      <w:i/>
      <w:iCs/>
      <w:color w:val="000000"/>
      <w:sz w:val="20"/>
      <w:szCs w:val="20"/>
    </w:rPr>
  </w:style>
  <w:style w:type="paragraph" w:customStyle="1" w:styleId="66">
    <w:name w:val="xl29"/>
    <w:basedOn w:val="1"/>
    <w:autoRedefine/>
    <w:qFormat/>
    <w:uiPriority w:val="99"/>
    <w:pPr>
      <w:pBdr>
        <w:bottom w:val="single" w:color="auto" w:sz="4" w:space="0"/>
        <w:right w:val="single" w:color="auto" w:sz="4" w:space="0"/>
      </w:pBdr>
      <w:spacing w:before="100" w:beforeAutospacing="1" w:after="100" w:afterAutospacing="1"/>
      <w:jc w:val="both"/>
      <w:textAlignment w:val="top"/>
    </w:pPr>
    <w:rPr>
      <w:rFonts w:ascii="Arial Unicode MS" w:hAnsi="Arial Unicode MS" w:cs="Times New Roman"/>
    </w:rPr>
  </w:style>
  <w:style w:type="paragraph" w:customStyle="1" w:styleId="6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编号1"/>
    <w:basedOn w:val="12"/>
    <w:autoRedefine/>
    <w:qFormat/>
    <w:uiPriority w:val="99"/>
    <w:pPr>
      <w:numPr>
        <w:ilvl w:val="0"/>
        <w:numId w:val="1"/>
      </w:numPr>
      <w:tabs>
        <w:tab w:val="left" w:pos="720"/>
      </w:tabs>
      <w:adjustRightInd w:val="0"/>
      <w:snapToGrid w:val="0"/>
      <w:spacing w:before="120" w:line="400" w:lineRule="exact"/>
      <w:ind w:left="720" w:firstLine="0" w:firstLineChars="0"/>
    </w:pPr>
    <w:rPr>
      <w:rFonts w:ascii="Times New Roman" w:hAnsi="Times New Roman"/>
    </w:rPr>
  </w:style>
  <w:style w:type="paragraph" w:customStyle="1" w:styleId="69">
    <w:name w:val="Char Char Char Char Char Char Char Char Char Char"/>
    <w:basedOn w:val="1"/>
    <w:autoRedefine/>
    <w:qFormat/>
    <w:uiPriority w:val="99"/>
    <w:pPr>
      <w:widowControl w:val="0"/>
      <w:jc w:val="both"/>
    </w:pPr>
    <w:rPr>
      <w:rFonts w:ascii="Tahoma" w:hAnsi="Tahoma" w:cs="Times New Roman"/>
      <w:kern w:val="2"/>
      <w:szCs w:val="20"/>
    </w:rPr>
  </w:style>
  <w:style w:type="paragraph" w:customStyle="1" w:styleId="70">
    <w:name w:val="标题1 Char Char Char"/>
    <w:basedOn w:val="2"/>
    <w:autoRedefine/>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 w:type="paragraph" w:customStyle="1" w:styleId="71">
    <w:name w:val="Char Char Char Char Char Char Char Char Char Char Char Char Char"/>
    <w:basedOn w:val="1"/>
    <w:autoRedefine/>
    <w:qFormat/>
    <w:uiPriority w:val="99"/>
    <w:pPr>
      <w:widowControl w:val="0"/>
      <w:jc w:val="both"/>
    </w:pPr>
    <w:rPr>
      <w:rFonts w:ascii="Times New Roman" w:hAnsi="Times New Roman" w:cs="Times New Roman"/>
      <w:kern w:val="2"/>
      <w:sz w:val="21"/>
      <w:szCs w:val="20"/>
    </w:rPr>
  </w:style>
  <w:style w:type="paragraph" w:customStyle="1" w:styleId="72">
    <w:name w:val="表格文字"/>
    <w:basedOn w:val="1"/>
    <w:autoRedefine/>
    <w:qFormat/>
    <w:uiPriority w:val="99"/>
    <w:pPr>
      <w:widowControl w:val="0"/>
      <w:adjustRightInd w:val="0"/>
      <w:spacing w:line="420" w:lineRule="atLeast"/>
    </w:pPr>
    <w:rPr>
      <w:rFonts w:ascii="Times New Roman" w:hAnsi="Times New Roman" w:cs="Times New Roman"/>
      <w:sz w:val="21"/>
      <w:szCs w:val="20"/>
    </w:rPr>
  </w:style>
  <w:style w:type="paragraph" w:styleId="73">
    <w:name w:val="List Paragraph"/>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74">
    <w:name w:val="flNote"/>
    <w:basedOn w:val="1"/>
    <w:autoRedefine/>
    <w:qFormat/>
    <w:uiPriority w:val="99"/>
    <w:pPr>
      <w:widowControl w:val="0"/>
      <w:adjustRightInd w:val="0"/>
      <w:spacing w:before="320" w:after="160" w:line="360" w:lineRule="atLeast"/>
      <w:jc w:val="center"/>
    </w:pPr>
    <w:rPr>
      <w:rFonts w:ascii="Arial" w:hAnsi="Times New Roman" w:eastAsia="黑体" w:cs="Times New Roman"/>
      <w:sz w:val="30"/>
      <w:szCs w:val="20"/>
    </w:rPr>
  </w:style>
  <w:style w:type="paragraph" w:customStyle="1" w:styleId="75">
    <w:name w:val="样式 标题 3 + (中文) 黑体 小四 非加粗 段前: 7.8 磅 段后: 0 磅 行距: 固定值 20 磅"/>
    <w:basedOn w:val="4"/>
    <w:autoRedefine/>
    <w:qFormat/>
    <w:uiPriority w:val="99"/>
    <w:pPr>
      <w:spacing w:before="0" w:after="0" w:line="400" w:lineRule="exact"/>
    </w:pPr>
    <w:rPr>
      <w:rFonts w:eastAsia="黑体" w:cs="宋体"/>
      <w:b w:val="0"/>
      <w:bCs w:val="0"/>
      <w:sz w:val="24"/>
      <w:szCs w:val="20"/>
    </w:rPr>
  </w:style>
  <w:style w:type="paragraph" w:customStyle="1" w:styleId="76">
    <w:name w:val="Char"/>
    <w:basedOn w:val="1"/>
    <w:autoRedefine/>
    <w:qFormat/>
    <w:uiPriority w:val="99"/>
    <w:pPr>
      <w:widowControl w:val="0"/>
      <w:jc w:val="both"/>
    </w:pPr>
    <w:rPr>
      <w:rFonts w:ascii="Times New Roman" w:hAnsi="Times New Roman" w:cs="Times New Roman"/>
      <w:kern w:val="2"/>
      <w:sz w:val="21"/>
      <w:szCs w:val="20"/>
    </w:rPr>
  </w:style>
  <w:style w:type="paragraph" w:styleId="77">
    <w:name w:val="No Spacing"/>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Blockquote"/>
    <w:basedOn w:val="1"/>
    <w:autoRedefine/>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79">
    <w:name w:val="reader-word-layer"/>
    <w:basedOn w:val="1"/>
    <w:autoRedefine/>
    <w:qFormat/>
    <w:uiPriority w:val="99"/>
    <w:pPr>
      <w:spacing w:before="100" w:beforeAutospacing="1" w:after="100" w:afterAutospacing="1"/>
    </w:pPr>
  </w:style>
  <w:style w:type="paragraph" w:customStyle="1" w:styleId="80">
    <w:name w:val="_Style 78"/>
    <w:basedOn w:val="2"/>
    <w:next w:val="1"/>
    <w:autoRedefine/>
    <w:qFormat/>
    <w:uiPriority w:val="99"/>
    <w:pPr>
      <w:outlineLvl w:val="9"/>
    </w:pPr>
    <w:rPr>
      <w:rFonts w:ascii="Calibri" w:hAnsi="Calibri"/>
    </w:rPr>
  </w:style>
  <w:style w:type="paragraph" w:customStyle="1" w:styleId="81">
    <w:name w:val="p0"/>
    <w:basedOn w:val="1"/>
    <w:autoRedefine/>
    <w:qFormat/>
    <w:uiPriority w:val="99"/>
    <w:pPr>
      <w:jc w:val="both"/>
    </w:pPr>
    <w:rPr>
      <w:rFonts w:ascii="Times New Roman" w:hAnsi="Times New Roman" w:cs="Times New Roman"/>
      <w:sz w:val="21"/>
      <w:szCs w:val="21"/>
    </w:rPr>
  </w:style>
  <w:style w:type="paragraph" w:customStyle="1" w:styleId="82">
    <w:name w:val="样式 正文缩进正文（首行缩进两字）特点ALT+Z表正文正文非缩进四号段1Normal Indent Char2...4"/>
    <w:basedOn w:val="19"/>
    <w:autoRedefine/>
    <w:qFormat/>
    <w:uiPriority w:val="99"/>
    <w:pPr>
      <w:tabs>
        <w:tab w:val="left" w:pos="510"/>
      </w:tabs>
      <w:adjustRightInd w:val="0"/>
      <w:spacing w:line="300" w:lineRule="auto"/>
      <w:ind w:left="0" w:leftChars="0" w:hanging="420"/>
    </w:pPr>
    <w:rPr>
      <w:rFonts w:ascii="Courier New" w:hAnsi="Arial" w:cs="Courier New"/>
      <w:color w:val="000000"/>
      <w:szCs w:val="20"/>
    </w:rPr>
  </w:style>
  <w:style w:type="paragraph" w:customStyle="1" w:styleId="83">
    <w:name w:val="样式1"/>
    <w:basedOn w:val="1"/>
    <w:next w:val="5"/>
    <w:autoRedefine/>
    <w:qFormat/>
    <w:uiPriority w:val="99"/>
    <w:pPr>
      <w:widowControl w:val="0"/>
      <w:spacing w:line="360" w:lineRule="auto"/>
      <w:ind w:firstLine="420" w:firstLineChars="200"/>
      <w:jc w:val="both"/>
    </w:pPr>
    <w:rPr>
      <w:rFonts w:cs="Times New Roman"/>
      <w:kern w:val="2"/>
      <w:sz w:val="21"/>
      <w:szCs w:val="21"/>
    </w:rPr>
  </w:style>
  <w:style w:type="paragraph" w:customStyle="1" w:styleId="84">
    <w:name w:val="默认段落字体 Para Char Char Char Char Char Char Char Char Char1 Char Char Char Char Char Char Char"/>
    <w:basedOn w:val="14"/>
    <w:autoRedefine/>
    <w:qFormat/>
    <w:uiPriority w:val="99"/>
    <w:rPr>
      <w:rFonts w:ascii="Tahoma" w:hAnsi="Tahoma"/>
    </w:rPr>
  </w:style>
  <w:style w:type="paragraph" w:customStyle="1" w:styleId="85">
    <w:name w:val="列出段落1"/>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86">
    <w:name w:val="正文文字编号黑体"/>
    <w:basedOn w:val="1"/>
    <w:autoRedefine/>
    <w:qFormat/>
    <w:uiPriority w:val="99"/>
    <w:pPr>
      <w:widowControl w:val="0"/>
      <w:tabs>
        <w:tab w:val="left" w:pos="1134"/>
      </w:tabs>
      <w:overflowPunct w:val="0"/>
      <w:autoSpaceDE w:val="0"/>
      <w:autoSpaceDN w:val="0"/>
      <w:adjustRightInd w:val="0"/>
      <w:snapToGrid w:val="0"/>
      <w:spacing w:before="120" w:afterLines="50" w:line="360" w:lineRule="exact"/>
      <w:ind w:left="1134" w:hanging="1134"/>
      <w:jc w:val="both"/>
      <w:textAlignment w:val="baseline"/>
    </w:pPr>
    <w:rPr>
      <w:rFonts w:ascii="Times New Roman" w:hAnsi="Times New Roman" w:cs="Times New Roman"/>
      <w:b/>
    </w:rPr>
  </w:style>
  <w:style w:type="paragraph" w:customStyle="1" w:styleId="87">
    <w:name w:val="1"/>
    <w:basedOn w:val="1"/>
    <w:next w:val="1"/>
    <w:autoRedefine/>
    <w:qFormat/>
    <w:uiPriority w:val="99"/>
    <w:pPr>
      <w:widowControl w:val="0"/>
      <w:jc w:val="both"/>
    </w:pPr>
    <w:rPr>
      <w:rFonts w:ascii="Times New Roman" w:hAnsi="Times New Roman" w:cs="Times New Roman"/>
      <w:kern w:val="2"/>
      <w:sz w:val="21"/>
    </w:rPr>
  </w:style>
  <w:style w:type="paragraph" w:customStyle="1" w:styleId="88">
    <w:name w:val="样式 标题 1 + 黑体 三号 非加粗 居中 段前: 6 磅 段后: 6 磅 行距: 固定值 20 磅"/>
    <w:basedOn w:val="2"/>
    <w:autoRedefine/>
    <w:qFormat/>
    <w:uiPriority w:val="99"/>
    <w:pPr>
      <w:spacing w:before="120" w:after="120" w:line="400" w:lineRule="exact"/>
      <w:jc w:val="center"/>
    </w:pPr>
    <w:rPr>
      <w:rFonts w:ascii="黑体" w:hAnsi="黑体" w:eastAsia="黑体" w:cs="宋体"/>
      <w:b w:val="0"/>
      <w:bCs w:val="0"/>
      <w:sz w:val="32"/>
      <w:szCs w:val="20"/>
    </w:rPr>
  </w:style>
  <w:style w:type="paragraph" w:customStyle="1" w:styleId="89">
    <w:name w:val="空半行"/>
    <w:basedOn w:val="1"/>
    <w:autoRedefine/>
    <w:qFormat/>
    <w:uiPriority w:val="99"/>
    <w:pPr>
      <w:widowControl w:val="0"/>
      <w:adjustRightInd w:val="0"/>
      <w:spacing w:line="120" w:lineRule="exact"/>
      <w:jc w:val="both"/>
    </w:pPr>
    <w:rPr>
      <w:rFonts w:ascii="Times New Roman" w:hAnsi="Times New Roman" w:eastAsia="仿宋_GB2312" w:cs="Times New Roman"/>
      <w:color w:val="FFFFFF"/>
      <w:sz w:val="30"/>
      <w:szCs w:val="20"/>
    </w:rPr>
  </w:style>
  <w:style w:type="paragraph" w:customStyle="1" w:styleId="90">
    <w:name w:val="表格"/>
    <w:basedOn w:val="1"/>
    <w:autoRedefine/>
    <w:qFormat/>
    <w:uiPriority w:val="99"/>
    <w:pPr>
      <w:widowControl w:val="0"/>
      <w:jc w:val="center"/>
    </w:pPr>
    <w:rPr>
      <w:rFonts w:ascii="华文细黑" w:hAnsi="华文细黑" w:cs="Times New Roman"/>
      <w:sz w:val="21"/>
      <w:szCs w:val="20"/>
    </w:rPr>
  </w:style>
  <w:style w:type="paragraph" w:customStyle="1" w:styleId="91">
    <w:name w:val="6'"/>
    <w:basedOn w:val="1"/>
    <w:autoRedefine/>
    <w:qFormat/>
    <w:uiPriority w:val="99"/>
    <w:pPr>
      <w:widowControl w:val="0"/>
      <w:autoSpaceDE w:val="0"/>
      <w:autoSpaceDN w:val="0"/>
      <w:adjustRightInd w:val="0"/>
      <w:snapToGrid w:val="0"/>
      <w:spacing w:line="320" w:lineRule="exact"/>
      <w:jc w:val="center"/>
    </w:pPr>
    <w:rPr>
      <w:rFonts w:ascii="Times New Roman" w:hAnsi="Times New Roman" w:cs="Times New Roman"/>
      <w:spacing w:val="20"/>
      <w:kern w:val="28"/>
      <w:sz w:val="21"/>
      <w:szCs w:val="20"/>
    </w:rPr>
  </w:style>
  <w:style w:type="character" w:customStyle="1" w:styleId="92">
    <w:name w:val="正文文本缩进 Char"/>
    <w:link w:val="19"/>
    <w:autoRedefine/>
    <w:qFormat/>
    <w:uiPriority w:val="99"/>
    <w:rPr>
      <w:rFonts w:ascii="Times New Roman" w:hAnsi="Times New Roman" w:eastAsia="宋体" w:cs="Times New Roman"/>
      <w:kern w:val="0"/>
      <w:sz w:val="24"/>
      <w:szCs w:val="24"/>
    </w:rPr>
  </w:style>
  <w:style w:type="character" w:customStyle="1" w:styleId="93">
    <w:name w:val="正文首行缩进 2 Char"/>
    <w:basedOn w:val="92"/>
    <w:link w:val="45"/>
    <w:autoRedefine/>
    <w:qFormat/>
    <w:uiPriority w:val="99"/>
  </w:style>
  <w:style w:type="character" w:customStyle="1" w:styleId="94">
    <w:name w:val="标题 1 Char"/>
    <w:link w:val="2"/>
    <w:autoRedefine/>
    <w:qFormat/>
    <w:uiPriority w:val="99"/>
    <w:rPr>
      <w:rFonts w:ascii="Times New Roman" w:hAnsi="Times New Roman" w:eastAsia="宋体" w:cs="Times New Roman"/>
      <w:b/>
      <w:bCs/>
      <w:kern w:val="44"/>
      <w:sz w:val="44"/>
      <w:szCs w:val="44"/>
    </w:rPr>
  </w:style>
  <w:style w:type="character" w:customStyle="1" w:styleId="95">
    <w:name w:val="标题 2 Char1"/>
    <w:link w:val="3"/>
    <w:autoRedefine/>
    <w:qFormat/>
    <w:locked/>
    <w:uiPriority w:val="99"/>
    <w:rPr>
      <w:rFonts w:ascii="Arial" w:hAnsi="Arial" w:eastAsia="黑体" w:cs="Times New Roman"/>
      <w:b/>
      <w:bCs/>
      <w:sz w:val="32"/>
      <w:szCs w:val="32"/>
    </w:rPr>
  </w:style>
  <w:style w:type="character" w:customStyle="1" w:styleId="96">
    <w:name w:val="标题 3 Char"/>
    <w:link w:val="4"/>
    <w:autoRedefine/>
    <w:qFormat/>
    <w:uiPriority w:val="99"/>
    <w:rPr>
      <w:rFonts w:ascii="宋体" w:hAnsi="宋体" w:eastAsia="宋体" w:cs="宋体"/>
      <w:b/>
      <w:bCs/>
      <w:kern w:val="0"/>
      <w:sz w:val="32"/>
      <w:szCs w:val="32"/>
    </w:rPr>
  </w:style>
  <w:style w:type="character" w:customStyle="1" w:styleId="97">
    <w:name w:val="标题 4 Char"/>
    <w:link w:val="5"/>
    <w:autoRedefine/>
    <w:qFormat/>
    <w:uiPriority w:val="99"/>
    <w:rPr>
      <w:rFonts w:ascii="Arial" w:hAnsi="Arial" w:eastAsia="黑体" w:cs="Times New Roman"/>
      <w:b/>
      <w:bCs/>
      <w:sz w:val="28"/>
      <w:szCs w:val="28"/>
    </w:rPr>
  </w:style>
  <w:style w:type="character" w:customStyle="1" w:styleId="98">
    <w:name w:val="标题 5 Char"/>
    <w:link w:val="6"/>
    <w:autoRedefine/>
    <w:qFormat/>
    <w:uiPriority w:val="99"/>
    <w:rPr>
      <w:rFonts w:ascii="Times New Roman" w:hAnsi="Times New Roman" w:eastAsia="宋体" w:cs="Times New Roman"/>
      <w:b/>
      <w:sz w:val="28"/>
      <w:szCs w:val="20"/>
    </w:rPr>
  </w:style>
  <w:style w:type="character" w:customStyle="1" w:styleId="99">
    <w:name w:val="标题 6 Char"/>
    <w:link w:val="7"/>
    <w:autoRedefine/>
    <w:qFormat/>
    <w:uiPriority w:val="99"/>
    <w:rPr>
      <w:rFonts w:ascii="Arial" w:hAnsi="Arial" w:eastAsia="黑体" w:cs="Times New Roman"/>
      <w:b/>
      <w:bCs/>
      <w:kern w:val="0"/>
      <w:sz w:val="24"/>
      <w:szCs w:val="24"/>
    </w:rPr>
  </w:style>
  <w:style w:type="character" w:customStyle="1" w:styleId="100">
    <w:name w:val="标题 7 Char"/>
    <w:link w:val="8"/>
    <w:autoRedefine/>
    <w:qFormat/>
    <w:uiPriority w:val="99"/>
    <w:rPr>
      <w:rFonts w:ascii="Times New Roman" w:hAnsi="Times New Roman" w:eastAsia="宋体" w:cs="Times New Roman"/>
      <w:b/>
      <w:bCs/>
      <w:kern w:val="0"/>
      <w:sz w:val="24"/>
      <w:szCs w:val="24"/>
    </w:rPr>
  </w:style>
  <w:style w:type="character" w:customStyle="1" w:styleId="101">
    <w:name w:val="标题 8 Char"/>
    <w:link w:val="9"/>
    <w:autoRedefine/>
    <w:qFormat/>
    <w:uiPriority w:val="99"/>
    <w:rPr>
      <w:rFonts w:ascii="Arial" w:hAnsi="Arial" w:eastAsia="黑体" w:cs="Times New Roman"/>
      <w:kern w:val="0"/>
      <w:sz w:val="24"/>
      <w:szCs w:val="24"/>
    </w:rPr>
  </w:style>
  <w:style w:type="character" w:customStyle="1" w:styleId="102">
    <w:name w:val="标题 9 Char"/>
    <w:link w:val="10"/>
    <w:autoRedefine/>
    <w:qFormat/>
    <w:uiPriority w:val="99"/>
    <w:rPr>
      <w:rFonts w:ascii="Arial" w:hAnsi="Arial" w:eastAsia="黑体" w:cs="Times New Roman"/>
      <w:kern w:val="0"/>
      <w:szCs w:val="21"/>
    </w:rPr>
  </w:style>
  <w:style w:type="character" w:customStyle="1" w:styleId="103">
    <w:name w:val="正文缩进 Char"/>
    <w:link w:val="12"/>
    <w:autoRedefine/>
    <w:qFormat/>
    <w:locked/>
    <w:uiPriority w:val="99"/>
    <w:rPr>
      <w:rFonts w:ascii="宋体" w:hAnsi="宋体" w:eastAsia="宋体"/>
      <w:sz w:val="24"/>
    </w:rPr>
  </w:style>
  <w:style w:type="character" w:customStyle="1" w:styleId="104">
    <w:name w:val="文档结构图 Char"/>
    <w:link w:val="14"/>
    <w:autoRedefine/>
    <w:qFormat/>
    <w:uiPriority w:val="99"/>
    <w:rPr>
      <w:rFonts w:ascii="Times New Roman" w:hAnsi="Times New Roman" w:eastAsia="宋体" w:cs="Times New Roman"/>
      <w:kern w:val="0"/>
      <w:sz w:val="24"/>
      <w:szCs w:val="24"/>
      <w:shd w:val="clear" w:color="auto" w:fill="000080"/>
    </w:rPr>
  </w:style>
  <w:style w:type="character" w:customStyle="1" w:styleId="105">
    <w:name w:val="批注文字 Char1"/>
    <w:link w:val="15"/>
    <w:autoRedefine/>
    <w:qFormat/>
    <w:uiPriority w:val="99"/>
    <w:rPr>
      <w:rFonts w:ascii="Calibri" w:hAnsi="Calibri" w:eastAsia="宋体" w:cs="Times New Roman"/>
      <w:kern w:val="0"/>
      <w:sz w:val="24"/>
      <w:szCs w:val="24"/>
    </w:rPr>
  </w:style>
  <w:style w:type="character" w:customStyle="1" w:styleId="106">
    <w:name w:val="称呼 Char"/>
    <w:link w:val="16"/>
    <w:autoRedefine/>
    <w:qFormat/>
    <w:uiPriority w:val="99"/>
    <w:rPr>
      <w:rFonts w:ascii="Times New Roman" w:hAnsi="Times New Roman" w:eastAsia="宋体" w:cs="Times New Roman"/>
      <w:sz w:val="28"/>
      <w:szCs w:val="24"/>
    </w:rPr>
  </w:style>
  <w:style w:type="character" w:customStyle="1" w:styleId="107">
    <w:name w:val="正文文本 3 Char"/>
    <w:link w:val="17"/>
    <w:autoRedefine/>
    <w:qFormat/>
    <w:uiPriority w:val="99"/>
    <w:rPr>
      <w:rFonts w:ascii="宋体" w:hAnsi="Times New Roman" w:eastAsia="宋体" w:cs="Times New Roman"/>
      <w:kern w:val="0"/>
      <w:sz w:val="20"/>
      <w:szCs w:val="20"/>
    </w:rPr>
  </w:style>
  <w:style w:type="character" w:customStyle="1" w:styleId="108">
    <w:name w:val="正文文本 Char"/>
    <w:link w:val="18"/>
    <w:autoRedefine/>
    <w:qFormat/>
    <w:uiPriority w:val="99"/>
    <w:rPr>
      <w:rFonts w:ascii="Times New Roman" w:hAnsi="Times New Roman" w:eastAsia="宋体" w:cs="Times New Roman"/>
      <w:kern w:val="0"/>
      <w:sz w:val="24"/>
      <w:szCs w:val="24"/>
    </w:rPr>
  </w:style>
  <w:style w:type="character" w:customStyle="1" w:styleId="109">
    <w:name w:val="纯文本 Char1"/>
    <w:link w:val="24"/>
    <w:autoRedefine/>
    <w:qFormat/>
    <w:uiPriority w:val="99"/>
    <w:rPr>
      <w:rFonts w:ascii="宋体" w:hAnsi="Courier New" w:eastAsia="宋体" w:cs="Times New Roman"/>
      <w:kern w:val="0"/>
      <w:sz w:val="20"/>
      <w:szCs w:val="20"/>
    </w:rPr>
  </w:style>
  <w:style w:type="character" w:customStyle="1" w:styleId="110">
    <w:name w:val="日期 Char"/>
    <w:link w:val="26"/>
    <w:autoRedefine/>
    <w:qFormat/>
    <w:uiPriority w:val="99"/>
    <w:rPr>
      <w:rFonts w:ascii="Times New Roman" w:hAnsi="Times New Roman" w:eastAsia="宋体" w:cs="Times New Roman"/>
      <w:kern w:val="0"/>
      <w:sz w:val="24"/>
      <w:szCs w:val="24"/>
    </w:rPr>
  </w:style>
  <w:style w:type="character" w:customStyle="1" w:styleId="111">
    <w:name w:val="正文文本缩进 2 Char"/>
    <w:link w:val="27"/>
    <w:autoRedefine/>
    <w:qFormat/>
    <w:uiPriority w:val="99"/>
    <w:rPr>
      <w:rFonts w:ascii="Times New Roman" w:hAnsi="Times New Roman" w:eastAsia="宋体" w:cs="Times New Roman"/>
      <w:kern w:val="0"/>
      <w:sz w:val="24"/>
      <w:szCs w:val="24"/>
    </w:rPr>
  </w:style>
  <w:style w:type="character" w:customStyle="1" w:styleId="112">
    <w:name w:val="批注框文本 Char"/>
    <w:link w:val="28"/>
    <w:autoRedefine/>
    <w:qFormat/>
    <w:uiPriority w:val="99"/>
    <w:rPr>
      <w:rFonts w:ascii="Calibri" w:hAnsi="Calibri" w:eastAsia="宋体" w:cs="Times New Roman"/>
      <w:sz w:val="18"/>
      <w:szCs w:val="18"/>
    </w:rPr>
  </w:style>
  <w:style w:type="character" w:customStyle="1" w:styleId="113">
    <w:name w:val="页脚 Char"/>
    <w:link w:val="29"/>
    <w:autoRedefine/>
    <w:qFormat/>
    <w:uiPriority w:val="99"/>
    <w:rPr>
      <w:sz w:val="18"/>
      <w:szCs w:val="18"/>
    </w:rPr>
  </w:style>
  <w:style w:type="character" w:customStyle="1" w:styleId="114">
    <w:name w:val="页眉 Char"/>
    <w:link w:val="30"/>
    <w:autoRedefine/>
    <w:semiHidden/>
    <w:qFormat/>
    <w:uiPriority w:val="99"/>
    <w:rPr>
      <w:sz w:val="18"/>
      <w:szCs w:val="18"/>
    </w:rPr>
  </w:style>
  <w:style w:type="character" w:customStyle="1" w:styleId="115">
    <w:name w:val="副标题 Char1"/>
    <w:link w:val="33"/>
    <w:autoRedefine/>
    <w:qFormat/>
    <w:uiPriority w:val="99"/>
    <w:rPr>
      <w:rFonts w:ascii="Cambria" w:hAnsi="Cambria" w:eastAsia="宋体" w:cs="Times New Roman"/>
      <w:b/>
      <w:bCs/>
      <w:kern w:val="28"/>
      <w:sz w:val="32"/>
      <w:szCs w:val="32"/>
    </w:rPr>
  </w:style>
  <w:style w:type="character" w:customStyle="1" w:styleId="116">
    <w:name w:val="脚注文本 Char"/>
    <w:link w:val="34"/>
    <w:autoRedefine/>
    <w:qFormat/>
    <w:uiPriority w:val="99"/>
    <w:rPr>
      <w:rFonts w:ascii="Times New Roman" w:hAnsi="Times New Roman" w:eastAsia="宋体" w:cs="Times New Roman"/>
      <w:kern w:val="0"/>
      <w:sz w:val="20"/>
      <w:szCs w:val="20"/>
    </w:rPr>
  </w:style>
  <w:style w:type="character" w:customStyle="1" w:styleId="117">
    <w:name w:val="正文文本缩进 3 Char"/>
    <w:link w:val="36"/>
    <w:autoRedefine/>
    <w:qFormat/>
    <w:uiPriority w:val="99"/>
    <w:rPr>
      <w:rFonts w:ascii="Times New Roman" w:hAnsi="Times New Roman" w:eastAsia="宋体" w:cs="Times New Roman"/>
      <w:kern w:val="0"/>
      <w:sz w:val="16"/>
      <w:szCs w:val="16"/>
    </w:rPr>
  </w:style>
  <w:style w:type="character" w:customStyle="1" w:styleId="118">
    <w:name w:val="正文文本 2 Char1"/>
    <w:link w:val="39"/>
    <w:autoRedefine/>
    <w:qFormat/>
    <w:uiPriority w:val="99"/>
    <w:rPr>
      <w:rFonts w:ascii="宋体" w:hAnsi="Calibri" w:eastAsia="宋体" w:cs="Times New Roman"/>
      <w:color w:val="000000"/>
      <w:kern w:val="0"/>
      <w:sz w:val="18"/>
      <w:szCs w:val="18"/>
    </w:rPr>
  </w:style>
  <w:style w:type="character" w:customStyle="1" w:styleId="119">
    <w:name w:val="标题 Char1"/>
    <w:link w:val="43"/>
    <w:autoRedefine/>
    <w:qFormat/>
    <w:uiPriority w:val="99"/>
    <w:rPr>
      <w:rFonts w:ascii="Arial" w:hAnsi="Arial" w:eastAsia="宋体" w:cs="Times New Roman"/>
      <w:b/>
      <w:kern w:val="0"/>
      <w:sz w:val="32"/>
      <w:szCs w:val="20"/>
    </w:rPr>
  </w:style>
  <w:style w:type="character" w:customStyle="1" w:styleId="120">
    <w:name w:val="批注主题 Char2"/>
    <w:link w:val="44"/>
    <w:autoRedefine/>
    <w:qFormat/>
    <w:uiPriority w:val="99"/>
    <w:rPr>
      <w:rFonts w:ascii="Calibri" w:hAnsi="Calibri" w:eastAsia="宋体" w:cs="Times New Roman"/>
      <w:b/>
      <w:bCs/>
      <w:kern w:val="0"/>
      <w:sz w:val="24"/>
      <w:szCs w:val="24"/>
    </w:rPr>
  </w:style>
  <w:style w:type="character" w:customStyle="1" w:styleId="121">
    <w:name w:val="Document Map Char"/>
    <w:autoRedefine/>
    <w:qFormat/>
    <w:locked/>
    <w:uiPriority w:val="99"/>
    <w:rPr>
      <w:rFonts w:ascii="Times New Roman" w:hAnsi="Times New Roman" w:eastAsia="宋体" w:cs="Times New Roman"/>
      <w:sz w:val="24"/>
      <w:szCs w:val="24"/>
      <w:shd w:val="clear" w:color="auto" w:fill="000080"/>
    </w:rPr>
  </w:style>
  <w:style w:type="character" w:customStyle="1" w:styleId="122">
    <w:name w:val="标题 Char"/>
    <w:autoRedefine/>
    <w:qFormat/>
    <w:uiPriority w:val="99"/>
    <w:rPr>
      <w:rFonts w:ascii="Cambria" w:hAnsi="Cambria" w:eastAsia="宋体" w:cs="Times New Roman"/>
      <w:b/>
      <w:bCs/>
      <w:sz w:val="32"/>
      <w:szCs w:val="32"/>
    </w:rPr>
  </w:style>
  <w:style w:type="character" w:customStyle="1" w:styleId="123">
    <w:name w:val="Char Char12"/>
    <w:autoRedefine/>
    <w:qFormat/>
    <w:locked/>
    <w:uiPriority w:val="99"/>
    <w:rPr>
      <w:rFonts w:ascii="宋体" w:hAnsi="宋体" w:eastAsia="宋体"/>
      <w:kern w:val="2"/>
      <w:sz w:val="24"/>
    </w:rPr>
  </w:style>
  <w:style w:type="character" w:customStyle="1" w:styleId="124">
    <w:name w:val="正文文本 3 Char1"/>
    <w:autoRedefine/>
    <w:qFormat/>
    <w:uiPriority w:val="99"/>
    <w:rPr>
      <w:rFonts w:cs="Times New Roman"/>
      <w:kern w:val="2"/>
      <w:sz w:val="16"/>
      <w:szCs w:val="16"/>
    </w:rPr>
  </w:style>
  <w:style w:type="character" w:customStyle="1" w:styleId="125">
    <w:name w:val="Char Char7"/>
    <w:autoRedefine/>
    <w:qFormat/>
    <w:uiPriority w:val="99"/>
    <w:rPr>
      <w:rFonts w:ascii="Arial" w:hAnsi="Arial" w:eastAsia="黑体"/>
      <w:b/>
      <w:kern w:val="2"/>
      <w:sz w:val="32"/>
      <w:lang w:val="en-US" w:eastAsia="zh-CN"/>
    </w:rPr>
  </w:style>
  <w:style w:type="character" w:customStyle="1" w:styleId="126">
    <w:name w:val="Body Text Indent Char"/>
    <w:autoRedefine/>
    <w:qFormat/>
    <w:locked/>
    <w:uiPriority w:val="99"/>
    <w:rPr>
      <w:rFonts w:ascii="Times New Roman" w:hAnsi="Times New Roman" w:eastAsia="宋体" w:cs="Times New Roman"/>
      <w:sz w:val="24"/>
      <w:szCs w:val="24"/>
    </w:rPr>
  </w:style>
  <w:style w:type="character" w:customStyle="1" w:styleId="127">
    <w:name w:val="正文文本缩进 2 Char1"/>
    <w:autoRedefine/>
    <w:qFormat/>
    <w:uiPriority w:val="99"/>
    <w:rPr>
      <w:rFonts w:cs="Times New Roman"/>
      <w:kern w:val="2"/>
      <w:sz w:val="24"/>
      <w:szCs w:val="24"/>
    </w:rPr>
  </w:style>
  <w:style w:type="character" w:customStyle="1" w:styleId="128">
    <w:name w:val="正文文本 Char1"/>
    <w:autoRedefine/>
    <w:qFormat/>
    <w:uiPriority w:val="99"/>
    <w:rPr>
      <w:kern w:val="2"/>
      <w:sz w:val="22"/>
    </w:rPr>
  </w:style>
  <w:style w:type="character" w:customStyle="1" w:styleId="129">
    <w:name w:val="Char Char3"/>
    <w:autoRedefine/>
    <w:qFormat/>
    <w:locked/>
    <w:uiPriority w:val="99"/>
    <w:rPr>
      <w:rFonts w:ascii="宋体" w:hAnsi="宋体" w:eastAsia="宋体"/>
      <w:kern w:val="2"/>
      <w:sz w:val="24"/>
      <w:lang w:val="en-US" w:eastAsia="zh-CN"/>
    </w:rPr>
  </w:style>
  <w:style w:type="character" w:customStyle="1" w:styleId="130">
    <w:name w:val="文档结构图 Char1"/>
    <w:autoRedefine/>
    <w:qFormat/>
    <w:uiPriority w:val="99"/>
    <w:rPr>
      <w:rFonts w:ascii="宋体" w:hAnsi="宋体" w:eastAsia="宋体"/>
      <w:kern w:val="2"/>
      <w:sz w:val="18"/>
    </w:rPr>
  </w:style>
  <w:style w:type="character" w:customStyle="1" w:styleId="131">
    <w:name w:val="批注框文本 Char1"/>
    <w:autoRedefine/>
    <w:qFormat/>
    <w:uiPriority w:val="99"/>
    <w:rPr>
      <w:kern w:val="2"/>
      <w:sz w:val="18"/>
    </w:rPr>
  </w:style>
  <w:style w:type="character" w:customStyle="1" w:styleId="132">
    <w:name w:val="_Style 130"/>
    <w:autoRedefine/>
    <w:qFormat/>
    <w:uiPriority w:val="99"/>
    <w:rPr>
      <w:i/>
      <w:color w:val="808080"/>
    </w:rPr>
  </w:style>
  <w:style w:type="character" w:customStyle="1" w:styleId="133">
    <w:name w:val="批注主题 Char"/>
    <w:autoRedefine/>
    <w:qFormat/>
    <w:uiPriority w:val="99"/>
    <w:rPr>
      <w:rFonts w:ascii="Times New Roman" w:hAnsi="Times New Roman" w:eastAsia="宋体" w:cs="Times New Roman"/>
      <w:b/>
      <w:bCs/>
      <w:sz w:val="24"/>
      <w:szCs w:val="24"/>
    </w:rPr>
  </w:style>
  <w:style w:type="character" w:customStyle="1" w:styleId="134">
    <w:name w:val="Quote Char"/>
    <w:autoRedefine/>
    <w:qFormat/>
    <w:locked/>
    <w:uiPriority w:val="99"/>
    <w:rPr>
      <w:rFonts w:cs="Times New Roman"/>
      <w:i/>
      <w:iCs/>
      <w:color w:val="000000"/>
    </w:rPr>
  </w:style>
  <w:style w:type="character" w:customStyle="1" w:styleId="135">
    <w:name w:val="Char Char2"/>
    <w:autoRedefine/>
    <w:qFormat/>
    <w:locked/>
    <w:uiPriority w:val="99"/>
    <w:rPr>
      <w:rFonts w:ascii="宋体" w:hAnsi="宋体" w:eastAsia="宋体"/>
      <w:kern w:val="2"/>
      <w:sz w:val="24"/>
      <w:lang w:val="en-US" w:eastAsia="zh-CN"/>
    </w:rPr>
  </w:style>
  <w:style w:type="character" w:customStyle="1" w:styleId="136">
    <w:name w:val="一级 Char"/>
    <w:link w:val="56"/>
    <w:autoRedefine/>
    <w:qFormat/>
    <w:uiPriority w:val="0"/>
    <w:rPr>
      <w:rFonts w:ascii="宋体" w:hAnsi="宋体"/>
      <w:b/>
      <w:sz w:val="32"/>
      <w:szCs w:val="32"/>
    </w:rPr>
  </w:style>
  <w:style w:type="character" w:customStyle="1" w:styleId="137">
    <w:name w:val="样式2 Char"/>
    <w:link w:val="57"/>
    <w:autoRedefine/>
    <w:qFormat/>
    <w:locked/>
    <w:uiPriority w:val="0"/>
    <w:rPr>
      <w:rFonts w:ascii="Times New Roman" w:hAnsi="Times New Roman" w:eastAsia="黑体"/>
      <w:b/>
      <w:kern w:val="2"/>
      <w:sz w:val="44"/>
      <w:szCs w:val="44"/>
    </w:rPr>
  </w:style>
  <w:style w:type="character" w:customStyle="1" w:styleId="138">
    <w:name w:val="Intense Quote Char"/>
    <w:autoRedefine/>
    <w:qFormat/>
    <w:locked/>
    <w:uiPriority w:val="99"/>
    <w:rPr>
      <w:rFonts w:cs="Times New Roman"/>
      <w:b/>
      <w:bCs/>
      <w:i/>
      <w:iCs/>
      <w:color w:val="4F81BD"/>
    </w:rPr>
  </w:style>
  <w:style w:type="character" w:customStyle="1" w:styleId="139">
    <w:name w:val="Intense Quote Char2"/>
    <w:autoRedefine/>
    <w:qFormat/>
    <w:locked/>
    <w:uiPriority w:val="99"/>
    <w:rPr>
      <w:rFonts w:ascii="Calibri" w:hAnsi="Calibri" w:eastAsia="宋体" w:cs="Times New Roman"/>
      <w:b/>
      <w:bCs/>
      <w:i/>
      <w:iCs/>
      <w:color w:val="4F81BD"/>
    </w:rPr>
  </w:style>
  <w:style w:type="character" w:customStyle="1" w:styleId="140">
    <w:name w:val="Char Char8"/>
    <w:autoRedefine/>
    <w:qFormat/>
    <w:uiPriority w:val="99"/>
    <w:rPr>
      <w:rFonts w:ascii="Arial" w:hAnsi="Arial" w:eastAsia="黑体"/>
      <w:b/>
      <w:kern w:val="2"/>
      <w:sz w:val="32"/>
      <w:lang w:val="en-US" w:eastAsia="zh-CN"/>
    </w:rPr>
  </w:style>
  <w:style w:type="character" w:customStyle="1" w:styleId="141">
    <w:name w:val="标题5 Char Char"/>
    <w:link w:val="58"/>
    <w:autoRedefine/>
    <w:qFormat/>
    <w:locked/>
    <w:uiPriority w:val="99"/>
    <w:rPr>
      <w:rFonts w:ascii="Arial" w:hAnsi="Arial"/>
      <w:b/>
      <w:sz w:val="32"/>
    </w:rPr>
  </w:style>
  <w:style w:type="character" w:customStyle="1" w:styleId="142">
    <w:name w:val="_Style 140"/>
    <w:autoRedefine/>
    <w:qFormat/>
    <w:uiPriority w:val="99"/>
    <w:rPr>
      <w:smallCaps/>
      <w:color w:val="C0504D"/>
      <w:u w:val="single"/>
    </w:rPr>
  </w:style>
  <w:style w:type="character" w:customStyle="1" w:styleId="143">
    <w:name w:val="Char Char9"/>
    <w:autoRedefine/>
    <w:qFormat/>
    <w:uiPriority w:val="99"/>
    <w:rPr>
      <w:kern w:val="2"/>
      <w:sz w:val="22"/>
    </w:rPr>
  </w:style>
  <w:style w:type="character" w:customStyle="1" w:styleId="144">
    <w:name w:val="Subtitle Char"/>
    <w:autoRedefine/>
    <w:qFormat/>
    <w:locked/>
    <w:uiPriority w:val="99"/>
    <w:rPr>
      <w:rFonts w:ascii="Cambria" w:hAnsi="Cambria" w:cs="Times New Roman"/>
      <w:b/>
      <w:bCs/>
      <w:kern w:val="28"/>
      <w:sz w:val="32"/>
      <w:szCs w:val="32"/>
    </w:rPr>
  </w:style>
  <w:style w:type="character" w:customStyle="1" w:styleId="145">
    <w:name w:val="_Style 143"/>
    <w:autoRedefine/>
    <w:qFormat/>
    <w:uiPriority w:val="99"/>
    <w:rPr>
      <w:b/>
      <w:smallCaps/>
      <w:spacing w:val="5"/>
    </w:rPr>
  </w:style>
  <w:style w:type="character" w:customStyle="1" w:styleId="146">
    <w:name w:val="三级 Char"/>
    <w:link w:val="59"/>
    <w:autoRedefine/>
    <w:qFormat/>
    <w:uiPriority w:val="0"/>
    <w:rPr>
      <w:rFonts w:ascii="宋体" w:hAnsi="宋体"/>
      <w:b/>
      <w:bCs/>
      <w:sz w:val="24"/>
      <w:szCs w:val="24"/>
    </w:rPr>
  </w:style>
  <w:style w:type="character" w:customStyle="1" w:styleId="147">
    <w:name w:val="_Style 145"/>
    <w:autoRedefine/>
    <w:qFormat/>
    <w:uiPriority w:val="99"/>
    <w:rPr>
      <w:b/>
      <w:i/>
      <w:color w:val="4F81BD"/>
    </w:rPr>
  </w:style>
  <w:style w:type="character" w:customStyle="1" w:styleId="148">
    <w:name w:val="Subtitle Char1"/>
    <w:autoRedefine/>
    <w:qFormat/>
    <w:locked/>
    <w:uiPriority w:val="99"/>
    <w:rPr>
      <w:rFonts w:ascii="Cambria" w:hAnsi="Cambria" w:cs="Times New Roman"/>
      <w:b/>
      <w:bCs/>
      <w:kern w:val="28"/>
      <w:sz w:val="32"/>
      <w:szCs w:val="32"/>
    </w:rPr>
  </w:style>
  <w:style w:type="character" w:customStyle="1" w:styleId="149">
    <w:name w:val="纯文本 Char"/>
    <w:autoRedefine/>
    <w:qFormat/>
    <w:uiPriority w:val="99"/>
    <w:rPr>
      <w:rFonts w:ascii="宋体" w:hAnsi="Courier New" w:eastAsia="宋体" w:cs="Courier New"/>
      <w:sz w:val="21"/>
      <w:szCs w:val="21"/>
    </w:rPr>
  </w:style>
  <w:style w:type="character" w:customStyle="1" w:styleId="150">
    <w:name w:val="Char Char"/>
    <w:autoRedefine/>
    <w:qFormat/>
    <w:uiPriority w:val="99"/>
    <w:rPr>
      <w:rFonts w:ascii="Arial" w:hAnsi="Arial" w:eastAsia="黑体"/>
      <w:b/>
      <w:kern w:val="2"/>
      <w:sz w:val="32"/>
      <w:lang w:val="en-US" w:eastAsia="zh-CN"/>
    </w:rPr>
  </w:style>
  <w:style w:type="character" w:customStyle="1" w:styleId="151">
    <w:name w:val="Quote Char1"/>
    <w:autoRedefine/>
    <w:qFormat/>
    <w:locked/>
    <w:uiPriority w:val="99"/>
    <w:rPr>
      <w:rFonts w:cs="Times New Roman"/>
      <w:i/>
      <w:iCs/>
      <w:color w:val="000000"/>
    </w:rPr>
  </w:style>
  <w:style w:type="character" w:customStyle="1" w:styleId="152">
    <w:name w:val="明显引用 Char"/>
    <w:autoRedefine/>
    <w:qFormat/>
    <w:uiPriority w:val="99"/>
    <w:rPr>
      <w:rFonts w:ascii="Times New Roman" w:hAnsi="Times New Roman" w:eastAsia="宋体" w:cs="Times New Roman"/>
      <w:b/>
      <w:bCs/>
      <w:i/>
      <w:iCs/>
      <w:color w:val="4F81BD"/>
      <w:sz w:val="24"/>
      <w:szCs w:val="24"/>
    </w:rPr>
  </w:style>
  <w:style w:type="character" w:customStyle="1" w:styleId="153">
    <w:name w:val="标题 3 字符"/>
    <w:autoRedefine/>
    <w:qFormat/>
    <w:locked/>
    <w:uiPriority w:val="99"/>
    <w:rPr>
      <w:rFonts w:ascii="Times New Roman" w:hAnsi="Times New Roman" w:eastAsia="宋体" w:cs="Times New Roman"/>
      <w:b/>
      <w:bCs/>
      <w:sz w:val="32"/>
      <w:szCs w:val="32"/>
    </w:rPr>
  </w:style>
  <w:style w:type="character" w:customStyle="1" w:styleId="154">
    <w:name w:val="Subtitle Char2"/>
    <w:autoRedefine/>
    <w:qFormat/>
    <w:locked/>
    <w:uiPriority w:val="99"/>
    <w:rPr>
      <w:rFonts w:ascii="Cambria" w:hAnsi="Cambria" w:eastAsia="宋体" w:cs="Times New Roman"/>
      <w:b/>
      <w:bCs/>
      <w:kern w:val="28"/>
      <w:sz w:val="32"/>
      <w:szCs w:val="32"/>
    </w:rPr>
  </w:style>
  <w:style w:type="character" w:customStyle="1" w:styleId="155">
    <w:name w:val="样式 标题 2 + Times New Roman 四号 非加粗 段前: 5 磅 段后: 0 磅 行距: 固定值 20... Char"/>
    <w:link w:val="61"/>
    <w:autoRedefine/>
    <w:qFormat/>
    <w:locked/>
    <w:uiPriority w:val="99"/>
    <w:rPr>
      <w:rFonts w:ascii="Times New Roman" w:hAnsi="Times New Roman" w:eastAsia="黑体" w:cs="宋体"/>
      <w:sz w:val="20"/>
      <w:szCs w:val="20"/>
    </w:rPr>
  </w:style>
  <w:style w:type="character" w:customStyle="1" w:styleId="156">
    <w:name w:val="正文文本 2 Char"/>
    <w:autoRedefine/>
    <w:qFormat/>
    <w:uiPriority w:val="99"/>
    <w:rPr>
      <w:rFonts w:ascii="Times New Roman" w:hAnsi="Times New Roman" w:eastAsia="宋体" w:cs="Times New Roman"/>
      <w:sz w:val="24"/>
      <w:szCs w:val="24"/>
    </w:rPr>
  </w:style>
  <w:style w:type="character" w:customStyle="1" w:styleId="157">
    <w:name w:val="副标题 Char"/>
    <w:autoRedefine/>
    <w:qFormat/>
    <w:uiPriority w:val="99"/>
    <w:rPr>
      <w:rFonts w:ascii="Cambria" w:hAnsi="Cambria" w:eastAsia="宋体" w:cs="Times New Roman"/>
      <w:b/>
      <w:bCs/>
      <w:kern w:val="28"/>
      <w:sz w:val="32"/>
      <w:szCs w:val="32"/>
    </w:rPr>
  </w:style>
  <w:style w:type="character" w:customStyle="1" w:styleId="158">
    <w:name w:val="日期 Char1"/>
    <w:autoRedefine/>
    <w:qFormat/>
    <w:uiPriority w:val="99"/>
    <w:rPr>
      <w:kern w:val="2"/>
      <w:sz w:val="22"/>
    </w:rPr>
  </w:style>
  <w:style w:type="character" w:customStyle="1" w:styleId="159">
    <w:name w:val="Body Text Indent 2 Char"/>
    <w:autoRedefine/>
    <w:qFormat/>
    <w:locked/>
    <w:uiPriority w:val="99"/>
    <w:rPr>
      <w:rFonts w:ascii="Times New Roman" w:hAnsi="Times New Roman" w:eastAsia="宋体" w:cs="Times New Roman"/>
      <w:sz w:val="24"/>
      <w:szCs w:val="24"/>
    </w:rPr>
  </w:style>
  <w:style w:type="character" w:customStyle="1" w:styleId="160">
    <w:name w:val="Char Char24"/>
    <w:autoRedefine/>
    <w:qFormat/>
    <w:locked/>
    <w:uiPriority w:val="99"/>
    <w:rPr>
      <w:rFonts w:ascii="宋体" w:hAnsi="宋体" w:eastAsia="宋体" w:cs="Times New Roman"/>
      <w:sz w:val="24"/>
      <w:szCs w:val="24"/>
      <w:lang w:bidi="ar-SA"/>
    </w:rPr>
  </w:style>
  <w:style w:type="character" w:customStyle="1" w:styleId="161">
    <w:name w:val="Char Char17"/>
    <w:autoRedefine/>
    <w:qFormat/>
    <w:uiPriority w:val="99"/>
    <w:rPr>
      <w:rFonts w:ascii="Cambria" w:hAnsi="Cambria" w:eastAsia="宋体"/>
      <w:b/>
      <w:kern w:val="2"/>
      <w:sz w:val="32"/>
    </w:rPr>
  </w:style>
  <w:style w:type="character" w:customStyle="1" w:styleId="162">
    <w:name w:val="批注框文本 Char3"/>
    <w:autoRedefine/>
    <w:qFormat/>
    <w:locked/>
    <w:uiPriority w:val="99"/>
    <w:rPr>
      <w:rFonts w:cs="Times New Roman"/>
      <w:sz w:val="18"/>
      <w:szCs w:val="18"/>
    </w:rPr>
  </w:style>
  <w:style w:type="character" w:customStyle="1" w:styleId="163">
    <w:name w:val="明显引用 Char1"/>
    <w:link w:val="62"/>
    <w:autoRedefine/>
    <w:qFormat/>
    <w:uiPriority w:val="99"/>
    <w:rPr>
      <w:rFonts w:ascii="Calibri" w:hAnsi="Calibri" w:eastAsia="宋体" w:cs="Times New Roman"/>
      <w:b/>
      <w:bCs/>
      <w:i/>
      <w:iCs/>
      <w:color w:val="4F81BD"/>
      <w:kern w:val="0"/>
      <w:sz w:val="20"/>
      <w:szCs w:val="20"/>
    </w:rPr>
  </w:style>
  <w:style w:type="character" w:customStyle="1" w:styleId="164">
    <w:name w:val="正文1 Char"/>
    <w:link w:val="63"/>
    <w:autoRedefine/>
    <w:qFormat/>
    <w:locked/>
    <w:uiPriority w:val="99"/>
    <w:rPr>
      <w:rFonts w:eastAsia="宋体"/>
    </w:rPr>
  </w:style>
  <w:style w:type="character" w:customStyle="1" w:styleId="165">
    <w:name w:val="font161"/>
    <w:autoRedefine/>
    <w:qFormat/>
    <w:uiPriority w:val="99"/>
    <w:rPr>
      <w:b/>
      <w:sz w:val="32"/>
    </w:rPr>
  </w:style>
  <w:style w:type="character" w:customStyle="1" w:styleId="166">
    <w:name w:val="Comment Subject Char"/>
    <w:autoRedefine/>
    <w:qFormat/>
    <w:locked/>
    <w:uiPriority w:val="99"/>
    <w:rPr>
      <w:rFonts w:eastAsia="宋体" w:cs="Times New Roman"/>
      <w:b/>
      <w:bCs/>
      <w:sz w:val="24"/>
      <w:szCs w:val="24"/>
    </w:rPr>
  </w:style>
  <w:style w:type="character" w:customStyle="1" w:styleId="167">
    <w:name w:val="Footnote Text Char"/>
    <w:autoRedefine/>
    <w:qFormat/>
    <w:locked/>
    <w:uiPriority w:val="99"/>
    <w:rPr>
      <w:rFonts w:ascii="Times New Roman" w:hAnsi="Times New Roman" w:cs="Times New Roman"/>
    </w:rPr>
  </w:style>
  <w:style w:type="character" w:customStyle="1" w:styleId="168">
    <w:name w:val="Body Text 2 Char"/>
    <w:autoRedefine/>
    <w:qFormat/>
    <w:locked/>
    <w:uiPriority w:val="99"/>
    <w:rPr>
      <w:rFonts w:ascii="宋体" w:eastAsia="宋体" w:cs="Times New Roman"/>
      <w:color w:val="000000"/>
      <w:sz w:val="18"/>
      <w:szCs w:val="18"/>
    </w:rPr>
  </w:style>
  <w:style w:type="character" w:customStyle="1" w:styleId="169">
    <w:name w:val="标题 1.1 Char"/>
    <w:autoRedefine/>
    <w:qFormat/>
    <w:uiPriority w:val="99"/>
    <w:rPr>
      <w:rFonts w:ascii="Arial" w:hAnsi="Arial" w:eastAsia="黑体"/>
      <w:b/>
      <w:kern w:val="2"/>
      <w:sz w:val="32"/>
      <w:lang w:val="en-US" w:eastAsia="zh-CN"/>
    </w:rPr>
  </w:style>
  <w:style w:type="character" w:customStyle="1" w:styleId="170">
    <w:name w:val="Title Char"/>
    <w:autoRedefine/>
    <w:qFormat/>
    <w:locked/>
    <w:uiPriority w:val="99"/>
    <w:rPr>
      <w:rFonts w:ascii="Arial" w:hAnsi="Arial" w:eastAsia="宋体" w:cs="Times New Roman"/>
      <w:b/>
      <w:sz w:val="32"/>
    </w:rPr>
  </w:style>
  <w:style w:type="character" w:customStyle="1" w:styleId="171">
    <w:name w:val="Quote Char2"/>
    <w:autoRedefine/>
    <w:qFormat/>
    <w:locked/>
    <w:uiPriority w:val="99"/>
    <w:rPr>
      <w:rFonts w:ascii="Calibri" w:hAnsi="Calibri" w:eastAsia="宋体" w:cs="Times New Roman"/>
      <w:i/>
      <w:iCs/>
      <w:color w:val="000000"/>
    </w:rPr>
  </w:style>
  <w:style w:type="character" w:customStyle="1" w:styleId="172">
    <w:name w:val="_Style 170"/>
    <w:autoRedefine/>
    <w:qFormat/>
    <w:uiPriority w:val="99"/>
    <w:rPr>
      <w:b/>
      <w:smallCaps/>
      <w:color w:val="C0504D"/>
      <w:spacing w:val="5"/>
      <w:u w:val="single"/>
    </w:rPr>
  </w:style>
  <w:style w:type="character" w:customStyle="1" w:styleId="173">
    <w:name w:val="Comment Text Char"/>
    <w:autoRedefine/>
    <w:qFormat/>
    <w:locked/>
    <w:uiPriority w:val="99"/>
    <w:rPr>
      <w:rFonts w:eastAsia="宋体" w:cs="Times New Roman"/>
      <w:sz w:val="24"/>
      <w:szCs w:val="24"/>
    </w:rPr>
  </w:style>
  <w:style w:type="character" w:customStyle="1" w:styleId="174">
    <w:name w:val="Char Char23"/>
    <w:autoRedefine/>
    <w:qFormat/>
    <w:locked/>
    <w:uiPriority w:val="99"/>
    <w:rPr>
      <w:rFonts w:ascii="宋体" w:hAnsi="宋体" w:eastAsia="宋体"/>
      <w:kern w:val="2"/>
      <w:sz w:val="24"/>
      <w:lang w:val="en-US" w:eastAsia="zh-CN"/>
    </w:rPr>
  </w:style>
  <w:style w:type="character" w:customStyle="1" w:styleId="175">
    <w:name w:val="正文文本缩进 3 Char1"/>
    <w:autoRedefine/>
    <w:qFormat/>
    <w:uiPriority w:val="99"/>
    <w:rPr>
      <w:rFonts w:cs="Times New Roman"/>
      <w:kern w:val="2"/>
      <w:sz w:val="16"/>
      <w:szCs w:val="16"/>
    </w:rPr>
  </w:style>
  <w:style w:type="character" w:customStyle="1" w:styleId="176">
    <w:name w:val="Title Char1"/>
    <w:autoRedefine/>
    <w:qFormat/>
    <w:locked/>
    <w:uiPriority w:val="99"/>
    <w:rPr>
      <w:rFonts w:ascii="Cambria" w:hAnsi="Cambria" w:cs="Times New Roman"/>
      <w:b/>
      <w:bCs/>
      <w:sz w:val="32"/>
      <w:szCs w:val="32"/>
    </w:rPr>
  </w:style>
  <w:style w:type="character" w:customStyle="1" w:styleId="177">
    <w:name w:val="Title Char2"/>
    <w:autoRedefine/>
    <w:qFormat/>
    <w:locked/>
    <w:uiPriority w:val="99"/>
    <w:rPr>
      <w:rFonts w:ascii="Cambria" w:hAnsi="Cambria" w:eastAsia="宋体" w:cs="Times New Roman"/>
      <w:b/>
      <w:bCs/>
      <w:sz w:val="32"/>
      <w:szCs w:val="32"/>
    </w:rPr>
  </w:style>
  <w:style w:type="character" w:customStyle="1" w:styleId="178">
    <w:name w:val="Date Char"/>
    <w:autoRedefine/>
    <w:qFormat/>
    <w:locked/>
    <w:uiPriority w:val="99"/>
    <w:rPr>
      <w:rFonts w:ascii="Times New Roman" w:hAnsi="Times New Roman" w:eastAsia="宋体" w:cs="Times New Roman"/>
      <w:sz w:val="24"/>
      <w:szCs w:val="24"/>
    </w:rPr>
  </w:style>
  <w:style w:type="character" w:customStyle="1" w:styleId="179">
    <w:name w:val="Body Text 3 Char"/>
    <w:autoRedefine/>
    <w:qFormat/>
    <w:locked/>
    <w:uiPriority w:val="99"/>
    <w:rPr>
      <w:rFonts w:ascii="宋体" w:hAnsi="Times New Roman" w:eastAsia="宋体" w:cs="Times New Roman"/>
      <w:sz w:val="20"/>
      <w:szCs w:val="20"/>
    </w:rPr>
  </w:style>
  <w:style w:type="character" w:customStyle="1" w:styleId="180">
    <w:name w:val="标题 2 Char"/>
    <w:autoRedefine/>
    <w:qFormat/>
    <w:uiPriority w:val="99"/>
    <w:rPr>
      <w:rFonts w:ascii="Cambria" w:hAnsi="Cambria" w:eastAsia="宋体" w:cs="Times New Roman"/>
      <w:b/>
      <w:bCs/>
      <w:kern w:val="0"/>
      <w:sz w:val="32"/>
      <w:szCs w:val="32"/>
    </w:rPr>
  </w:style>
  <w:style w:type="character" w:customStyle="1" w:styleId="181">
    <w:name w:val="Intense Quote Char1"/>
    <w:autoRedefine/>
    <w:qFormat/>
    <w:locked/>
    <w:uiPriority w:val="99"/>
    <w:rPr>
      <w:rFonts w:cs="Times New Roman"/>
      <w:b/>
      <w:bCs/>
      <w:i/>
      <w:iCs/>
      <w:color w:val="4F81BD"/>
    </w:rPr>
  </w:style>
  <w:style w:type="character" w:customStyle="1" w:styleId="182">
    <w:name w:val="HTML Markup"/>
    <w:autoRedefine/>
    <w:qFormat/>
    <w:uiPriority w:val="99"/>
    <w:rPr>
      <w:rFonts w:cs="Times New Roman"/>
      <w:vanish/>
      <w:color w:val="FF0000"/>
    </w:rPr>
  </w:style>
  <w:style w:type="character" w:customStyle="1" w:styleId="183">
    <w:name w:val="Plain Text Char"/>
    <w:autoRedefine/>
    <w:qFormat/>
    <w:locked/>
    <w:uiPriority w:val="99"/>
    <w:rPr>
      <w:rFonts w:ascii="宋体" w:hAnsi="Courier New" w:eastAsia="宋体" w:cs="Times New Roman"/>
    </w:rPr>
  </w:style>
  <w:style w:type="character" w:customStyle="1" w:styleId="184">
    <w:name w:val="二级 Char"/>
    <w:link w:val="64"/>
    <w:autoRedefine/>
    <w:qFormat/>
    <w:uiPriority w:val="0"/>
    <w:rPr>
      <w:rFonts w:ascii="宋体" w:hAnsi="宋体"/>
      <w:b/>
      <w:bCs/>
      <w:sz w:val="28"/>
      <w:szCs w:val="28"/>
    </w:rPr>
  </w:style>
  <w:style w:type="character" w:customStyle="1" w:styleId="185">
    <w:name w:val="Body Text Indent 3 Char"/>
    <w:autoRedefine/>
    <w:qFormat/>
    <w:locked/>
    <w:uiPriority w:val="99"/>
    <w:rPr>
      <w:rFonts w:ascii="Times New Roman" w:hAnsi="Times New Roman" w:eastAsia="宋体" w:cs="Times New Roman"/>
      <w:sz w:val="16"/>
      <w:szCs w:val="16"/>
    </w:rPr>
  </w:style>
  <w:style w:type="character" w:customStyle="1" w:styleId="186">
    <w:name w:val="textcontents"/>
    <w:autoRedefine/>
    <w:qFormat/>
    <w:uiPriority w:val="99"/>
    <w:rPr>
      <w:rFonts w:ascii="Times New Roman" w:hAnsi="Times New Roman"/>
    </w:rPr>
  </w:style>
  <w:style w:type="character" w:customStyle="1" w:styleId="187">
    <w:name w:val="批注文字 Char"/>
    <w:autoRedefine/>
    <w:qFormat/>
    <w:uiPriority w:val="99"/>
    <w:rPr>
      <w:rFonts w:ascii="Times New Roman" w:hAnsi="Times New Roman" w:eastAsia="宋体" w:cs="Times New Roman"/>
      <w:sz w:val="24"/>
      <w:szCs w:val="24"/>
    </w:rPr>
  </w:style>
  <w:style w:type="character" w:customStyle="1" w:styleId="188">
    <w:name w:val="引用 Char"/>
    <w:autoRedefine/>
    <w:qFormat/>
    <w:uiPriority w:val="99"/>
    <w:rPr>
      <w:rFonts w:ascii="Times New Roman" w:hAnsi="Times New Roman" w:eastAsia="宋体" w:cs="Times New Roman"/>
      <w:i/>
      <w:iCs/>
      <w:color w:val="000000"/>
      <w:sz w:val="24"/>
      <w:szCs w:val="24"/>
    </w:rPr>
  </w:style>
  <w:style w:type="character" w:customStyle="1" w:styleId="189">
    <w:name w:val="引用 Char1"/>
    <w:link w:val="65"/>
    <w:autoRedefine/>
    <w:qFormat/>
    <w:uiPriority w:val="99"/>
    <w:rPr>
      <w:rFonts w:ascii="Calibri" w:hAnsi="Calibri" w:eastAsia="宋体" w:cs="Times New Roman"/>
      <w:i/>
      <w:iCs/>
      <w:color w:val="000000"/>
      <w:kern w:val="0"/>
      <w:sz w:val="20"/>
      <w:szCs w:val="20"/>
    </w:rPr>
  </w:style>
  <w:style w:type="character" w:customStyle="1" w:styleId="190">
    <w:name w:val="批注主题 Char1"/>
    <w:autoRedefine/>
    <w:qFormat/>
    <w:uiPriority w:val="99"/>
    <w:rPr>
      <w:b/>
      <w:kern w:val="2"/>
      <w:sz w:val="22"/>
    </w:rPr>
  </w:style>
  <w:style w:type="character" w:customStyle="1" w:styleId="191">
    <w:name w:val="批注文字 Char Char"/>
    <w:autoRedefine/>
    <w:qFormat/>
    <w:uiPriority w:val="99"/>
    <w:rPr>
      <w:rFonts w:ascii="宋体" w:hAnsi="Times New Roman" w:eastAsia="宋体"/>
      <w:sz w:val="20"/>
    </w:rPr>
  </w:style>
  <w:style w:type="character" w:customStyle="1" w:styleId="192">
    <w:name w:val="Body Text Char"/>
    <w:autoRedefine/>
    <w:qFormat/>
    <w:locked/>
    <w:uiPriority w:val="99"/>
    <w:rPr>
      <w:rFonts w:ascii="Times New Roman" w:hAnsi="Times New Roman" w:eastAsia="宋体" w:cs="Times New Roman"/>
      <w:sz w:val="24"/>
      <w:szCs w:val="24"/>
    </w:rPr>
  </w:style>
  <w:style w:type="character" w:customStyle="1" w:styleId="193">
    <w:name w:val="font61"/>
    <w:basedOn w:val="48"/>
    <w:autoRedefine/>
    <w:qFormat/>
    <w:uiPriority w:val="0"/>
    <w:rPr>
      <w:rFonts w:ascii="仿宋_GB2312" w:eastAsia="仿宋_GB2312" w:cs="仿宋_GB2312"/>
      <w:color w:val="000000"/>
      <w:sz w:val="20"/>
      <w:szCs w:val="20"/>
      <w:u w:val="none"/>
    </w:rPr>
  </w:style>
  <w:style w:type="character" w:customStyle="1" w:styleId="194">
    <w:name w:val="font71"/>
    <w:basedOn w:val="48"/>
    <w:autoRedefine/>
    <w:qFormat/>
    <w:uiPriority w:val="0"/>
    <w:rPr>
      <w:rFonts w:hint="eastAsia" w:ascii="宋体" w:hAnsi="宋体" w:eastAsia="宋体" w:cs="宋体"/>
      <w:color w:val="000000"/>
      <w:sz w:val="20"/>
      <w:szCs w:val="20"/>
      <w:u w:val="none"/>
    </w:rPr>
  </w:style>
  <w:style w:type="character" w:customStyle="1" w:styleId="195">
    <w:name w:val="font11"/>
    <w:basedOn w:val="48"/>
    <w:autoRedefine/>
    <w:qFormat/>
    <w:uiPriority w:val="0"/>
    <w:rPr>
      <w:rFonts w:hint="eastAsia" w:ascii="宋体" w:hAnsi="宋体" w:eastAsia="宋体" w:cs="宋体"/>
      <w:color w:val="000000"/>
      <w:sz w:val="20"/>
      <w:szCs w:val="20"/>
      <w:u w:val="none"/>
    </w:rPr>
  </w:style>
  <w:style w:type="character" w:customStyle="1" w:styleId="196">
    <w:name w:val="font81"/>
    <w:basedOn w:val="48"/>
    <w:autoRedefine/>
    <w:qFormat/>
    <w:uiPriority w:val="0"/>
    <w:rPr>
      <w:rFonts w:hint="default" w:ascii="Times New Roman" w:hAnsi="Times New Roman" w:cs="Times New Roman"/>
      <w:color w:val="000000"/>
      <w:sz w:val="20"/>
      <w:szCs w:val="20"/>
      <w:u w:val="none"/>
    </w:rPr>
  </w:style>
  <w:style w:type="character" w:customStyle="1" w:styleId="197">
    <w:name w:val="font01"/>
    <w:basedOn w:val="48"/>
    <w:autoRedefine/>
    <w:qFormat/>
    <w:uiPriority w:val="0"/>
    <w:rPr>
      <w:rFonts w:hint="eastAsia" w:ascii="仿宋_GB2312" w:eastAsia="仿宋_GB2312" w:cs="仿宋_GB2312"/>
      <w:color w:val="000000"/>
      <w:sz w:val="20"/>
      <w:szCs w:val="20"/>
      <w:u w:val="none"/>
    </w:rPr>
  </w:style>
  <w:style w:type="character" w:customStyle="1" w:styleId="198">
    <w:name w:val="font91"/>
    <w:basedOn w:val="48"/>
    <w:autoRedefine/>
    <w:qFormat/>
    <w:uiPriority w:val="0"/>
    <w:rPr>
      <w:rFonts w:ascii="微软雅黑" w:hAnsi="微软雅黑" w:eastAsia="微软雅黑" w:cs="微软雅黑"/>
      <w:color w:val="000000"/>
      <w:sz w:val="20"/>
      <w:szCs w:val="20"/>
      <w:u w:val="none"/>
    </w:rPr>
  </w:style>
  <w:style w:type="character" w:customStyle="1" w:styleId="199">
    <w:name w:val="font21"/>
    <w:basedOn w:val="48"/>
    <w:autoRedefine/>
    <w:qFormat/>
    <w:uiPriority w:val="0"/>
    <w:rPr>
      <w:rFonts w:hint="eastAsia" w:ascii="宋体" w:hAnsi="宋体" w:eastAsia="宋体" w:cs="宋体"/>
      <w:color w:val="000000"/>
      <w:sz w:val="18"/>
      <w:szCs w:val="18"/>
      <w:u w:val="none"/>
    </w:rPr>
  </w:style>
  <w:style w:type="character" w:customStyle="1" w:styleId="200">
    <w:name w:val="font51"/>
    <w:basedOn w:val="48"/>
    <w:autoRedefine/>
    <w:qFormat/>
    <w:uiPriority w:val="0"/>
    <w:rPr>
      <w:rFonts w:ascii="仿宋_GB2312" w:eastAsia="仿宋_GB2312" w:cs="仿宋_GB2312"/>
      <w:color w:val="000000"/>
      <w:sz w:val="20"/>
      <w:szCs w:val="20"/>
      <w:u w:val="none"/>
    </w:rPr>
  </w:style>
  <w:style w:type="character" w:customStyle="1" w:styleId="201">
    <w:name w:val="font31"/>
    <w:basedOn w:val="48"/>
    <w:autoRedefine/>
    <w:qFormat/>
    <w:uiPriority w:val="0"/>
    <w:rPr>
      <w:rFonts w:hint="eastAsia" w:ascii="宋体" w:hAnsi="宋体" w:eastAsia="宋体" w:cs="宋体"/>
      <w:color w:val="000000"/>
      <w:sz w:val="18"/>
      <w:szCs w:val="18"/>
      <w:u w:val="none"/>
    </w:rPr>
  </w:style>
  <w:style w:type="character" w:customStyle="1" w:styleId="202">
    <w:name w:val="font41"/>
    <w:basedOn w:val="48"/>
    <w:autoRedefine/>
    <w:qFormat/>
    <w:uiPriority w:val="0"/>
    <w:rPr>
      <w:rFonts w:hint="eastAsia" w:ascii="等线" w:hAnsi="等线" w:eastAsia="等线" w:cs="等线"/>
      <w:color w:val="000000"/>
      <w:sz w:val="20"/>
      <w:szCs w:val="20"/>
      <w:u w:val="none"/>
    </w:rPr>
  </w:style>
  <w:style w:type="paragraph" w:customStyle="1" w:styleId="203">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c6498c-0552-4c59-ae9c-47d58bc557e6}"/>
        <w:style w:val=""/>
        <w:category>
          <w:name w:val="常规"/>
          <w:gallery w:val="placeholder"/>
        </w:category>
        <w:types>
          <w:type w:val="bbPlcHdr"/>
        </w:types>
        <w:behaviors>
          <w:behavior w:val="content"/>
        </w:behaviors>
        <w:description w:val=""/>
        <w:guid w:val="{47c6498c-0552-4c59-ae9c-47d58bc557e6}"/>
      </w:docPartPr>
      <w:docPartBody>
        <w:p w14:paraId="2FBE26B2">
          <w:r>
            <w:rPr>
              <w:color w:val="808080"/>
            </w:rPr>
            <w:t>单击此处输入文字。</w:t>
          </w:r>
        </w:p>
      </w:docPartBody>
    </w:docPart>
    <w:docPart>
      <w:docPartPr>
        <w:name w:val="{b51bf0f7-022a-4559-abc0-0d1bd889bd8a}"/>
        <w:style w:val=""/>
        <w:category>
          <w:name w:val="常规"/>
          <w:gallery w:val="placeholder"/>
        </w:category>
        <w:types>
          <w:type w:val="bbPlcHdr"/>
        </w:types>
        <w:behaviors>
          <w:behavior w:val="content"/>
        </w:behaviors>
        <w:description w:val=""/>
        <w:guid w:val="{b51bf0f7-022a-4559-abc0-0d1bd889bd8a}"/>
      </w:docPartPr>
      <w:docPartBody>
        <w:p w14:paraId="7D94CE21">
          <w:r>
            <w:rPr>
              <w:color w:val="808080"/>
            </w:rPr>
            <w:t>单击此处输入文字。</w:t>
          </w:r>
        </w:p>
      </w:docPartBody>
    </w:docPart>
    <w:docPart>
      <w:docPartPr>
        <w:name w:val="{c25d4978-c5d2-477a-91bb-0b09dc94c11a}"/>
        <w:style w:val=""/>
        <w:category>
          <w:name w:val="常规"/>
          <w:gallery w:val="placeholder"/>
        </w:category>
        <w:types>
          <w:type w:val="bbPlcHdr"/>
        </w:types>
        <w:behaviors>
          <w:behavior w:val="content"/>
        </w:behaviors>
        <w:description w:val=""/>
        <w:guid w:val="{c25d4978-c5d2-477a-91bb-0b09dc94c11a}"/>
      </w:docPartPr>
      <w:docPartBody>
        <w:p w14:paraId="5C16AC7C">
          <w:r>
            <w:rPr>
              <w:color w:val="808080"/>
            </w:rPr>
            <w:t>单击此处输入文字。</w:t>
          </w:r>
        </w:p>
      </w:docPartBody>
    </w:docPart>
    <w:docPart>
      <w:docPartPr>
        <w:name w:val="{4dee9d09-12f1-4d62-ac96-cef84ef3c0db}"/>
        <w:style w:val=""/>
        <w:category>
          <w:name w:val="常规"/>
          <w:gallery w:val="placeholder"/>
        </w:category>
        <w:types>
          <w:type w:val="bbPlcHdr"/>
        </w:types>
        <w:behaviors>
          <w:behavior w:val="content"/>
        </w:behaviors>
        <w:description w:val=""/>
        <w:guid w:val="{4dee9d09-12f1-4d62-ac96-cef84ef3c0db}"/>
      </w:docPartPr>
      <w:docPartBody>
        <w:p w14:paraId="117D971B">
          <w:r>
            <w:rPr>
              <w:color w:val="808080"/>
            </w:rPr>
            <w:t>单击此处输入文字。</w:t>
          </w:r>
        </w:p>
      </w:docPartBody>
    </w:docPart>
    <w:docPart>
      <w:docPartPr>
        <w:name w:val="{baa7020d-cbdc-4b80-9be8-db23af549d25}"/>
        <w:style w:val=""/>
        <w:category>
          <w:name w:val="常规"/>
          <w:gallery w:val="placeholder"/>
        </w:category>
        <w:types>
          <w:type w:val="bbPlcHdr"/>
        </w:types>
        <w:behaviors>
          <w:behavior w:val="content"/>
        </w:behaviors>
        <w:description w:val=""/>
        <w:guid w:val="{baa7020d-cbdc-4b80-9be8-db23af549d25}"/>
      </w:docPartPr>
      <w:docPartBody>
        <w:p w14:paraId="46E55E15">
          <w:r>
            <w:rPr>
              <w:color w:val="808080"/>
            </w:rPr>
            <w:t>单击此处输入文字。</w:t>
          </w:r>
        </w:p>
      </w:docPartBody>
    </w:docPart>
    <w:docPart>
      <w:docPartPr>
        <w:name w:val="{37c66cee-39be-405c-8a3b-ccee1d5988c9}"/>
        <w:style w:val=""/>
        <w:category>
          <w:name w:val="常规"/>
          <w:gallery w:val="placeholder"/>
        </w:category>
        <w:types>
          <w:type w:val="bbPlcHdr"/>
        </w:types>
        <w:behaviors>
          <w:behavior w:val="content"/>
        </w:behaviors>
        <w:description w:val=""/>
        <w:guid w:val="{37c66cee-39be-405c-8a3b-ccee1d5988c9}"/>
      </w:docPartPr>
      <w:docPartBody>
        <w:p w14:paraId="233A8689">
          <w:r>
            <w:rPr>
              <w:color w:val="808080"/>
            </w:rPr>
            <w:t>单击此处输入文字。</w:t>
          </w:r>
        </w:p>
      </w:docPartBody>
    </w:docPart>
    <w:docPart>
      <w:docPartPr>
        <w:name w:val="{fdd5341b-5a73-400a-9400-40fd51aceecd}"/>
        <w:style w:val=""/>
        <w:category>
          <w:name w:val="常规"/>
          <w:gallery w:val="placeholder"/>
        </w:category>
        <w:types>
          <w:type w:val="bbPlcHdr"/>
        </w:types>
        <w:behaviors>
          <w:behavior w:val="content"/>
        </w:behaviors>
        <w:description w:val=""/>
        <w:guid w:val="{fdd5341b-5a73-400a-9400-40fd51aceecd}"/>
      </w:docPartPr>
      <w:docPartBody>
        <w:p w14:paraId="6A13E779">
          <w:r>
            <w:rPr>
              <w:color w:val="808080"/>
            </w:rPr>
            <w:t>单击此处输入文字。</w:t>
          </w:r>
        </w:p>
      </w:docPartBody>
    </w:docPart>
    <w:docPart>
      <w:docPartPr>
        <w:name w:val="{c8d31c09-d53b-47a6-805d-f697f880347d}"/>
        <w:style w:val=""/>
        <w:category>
          <w:name w:val="常规"/>
          <w:gallery w:val="placeholder"/>
        </w:category>
        <w:types>
          <w:type w:val="bbPlcHdr"/>
        </w:types>
        <w:behaviors>
          <w:behavior w:val="content"/>
        </w:behaviors>
        <w:description w:val=""/>
        <w:guid w:val="{c8d31c09-d53b-47a6-805d-f697f880347d}"/>
      </w:docPartPr>
      <w:docPartBody>
        <w:p w14:paraId="29BF6C77">
          <w:r>
            <w:rPr>
              <w:color w:val="808080"/>
            </w:rPr>
            <w:t>单击此处输入文字。</w:t>
          </w:r>
        </w:p>
      </w:docPartBody>
    </w:docPart>
    <w:docPart>
      <w:docPartPr>
        <w:name w:val="{ebff3c89-b4c8-46ae-97ac-e8b2495addcb}"/>
        <w:style w:val=""/>
        <w:category>
          <w:name w:val="常规"/>
          <w:gallery w:val="placeholder"/>
        </w:category>
        <w:types>
          <w:type w:val="bbPlcHdr"/>
        </w:types>
        <w:behaviors>
          <w:behavior w:val="content"/>
        </w:behaviors>
        <w:description w:val=""/>
        <w:guid w:val="{ebff3c89-b4c8-46ae-97ac-e8b2495addcb}"/>
      </w:docPartPr>
      <w:docPartBody>
        <w:p w14:paraId="3BA58B73">
          <w:r>
            <w:rPr>
              <w:color w:val="808080"/>
            </w:rPr>
            <w:t>单击此处输入文字。</w:t>
          </w:r>
        </w:p>
      </w:docPartBody>
    </w:docPart>
    <w:docPart>
      <w:docPartPr>
        <w:name w:val="{ec6c8546-bf52-4b04-a1f8-d58ee26a9361}"/>
        <w:style w:val=""/>
        <w:category>
          <w:name w:val="常规"/>
          <w:gallery w:val="placeholder"/>
        </w:category>
        <w:types>
          <w:type w:val="bbPlcHdr"/>
        </w:types>
        <w:behaviors>
          <w:behavior w:val="content"/>
        </w:behaviors>
        <w:description w:val=""/>
        <w:guid w:val="{ec6c8546-bf52-4b04-a1f8-d58ee26a9361}"/>
      </w:docPartPr>
      <w:docPartBody>
        <w:p w14:paraId="095C7A4A">
          <w:r>
            <w:rPr>
              <w:color w:val="808080"/>
            </w:rPr>
            <w:t>单击此处输入文字。</w:t>
          </w:r>
        </w:p>
      </w:docPartBody>
    </w:docPart>
    <w:docPart>
      <w:docPartPr>
        <w:name w:val="{cd7df482-2d0d-47bc-9c73-7f2245ce7394}"/>
        <w:style w:val=""/>
        <w:category>
          <w:name w:val="常规"/>
          <w:gallery w:val="placeholder"/>
        </w:category>
        <w:types>
          <w:type w:val="bbPlcHdr"/>
        </w:types>
        <w:behaviors>
          <w:behavior w:val="content"/>
        </w:behaviors>
        <w:description w:val=""/>
        <w:guid w:val="{cd7df482-2d0d-47bc-9c73-7f2245ce7394}"/>
      </w:docPartPr>
      <w:docPartBody>
        <w:p w14:paraId="1A71DA21">
          <w:r>
            <w:rPr>
              <w:color w:val="808080"/>
            </w:rPr>
            <w:t>单击此处输入文字。</w:t>
          </w:r>
        </w:p>
      </w:docPartBody>
    </w:docPart>
    <w:docPart>
      <w:docPartPr>
        <w:name w:val="{b985d993-bf46-4bf7-a804-6cac3911529b}"/>
        <w:style w:val=""/>
        <w:category>
          <w:name w:val="常规"/>
          <w:gallery w:val="placeholder"/>
        </w:category>
        <w:types>
          <w:type w:val="bbPlcHdr"/>
        </w:types>
        <w:behaviors>
          <w:behavior w:val="content"/>
        </w:behaviors>
        <w:description w:val=""/>
        <w:guid w:val="{b985d993-bf46-4bf7-a804-6cac3911529b}"/>
      </w:docPartPr>
      <w:docPartBody>
        <w:p w14:paraId="10B94A59">
          <w:r>
            <w:rPr>
              <w:color w:val="808080"/>
            </w:rPr>
            <w:t>单击此处输入文字。</w:t>
          </w:r>
        </w:p>
      </w:docPartBody>
    </w:docPart>
    <w:docPart>
      <w:docPartPr>
        <w:name w:val="{ea41b6b9-b3e2-4665-ba57-84d017007248}"/>
        <w:style w:val=""/>
        <w:category>
          <w:name w:val="常规"/>
          <w:gallery w:val="placeholder"/>
        </w:category>
        <w:types>
          <w:type w:val="bbPlcHdr"/>
        </w:types>
        <w:behaviors>
          <w:behavior w:val="content"/>
        </w:behaviors>
        <w:description w:val=""/>
        <w:guid w:val="{ea41b6b9-b3e2-4665-ba57-84d017007248}"/>
      </w:docPartPr>
      <w:docPartBody>
        <w:p w14:paraId="5E375073">
          <w:r>
            <w:rPr>
              <w:color w:val="808080"/>
            </w:rPr>
            <w:t>单击此处输入文字。</w:t>
          </w:r>
        </w:p>
      </w:docPartBody>
    </w:docPart>
    <w:docPart>
      <w:docPartPr>
        <w:name w:val="{2bb8ae50-9b2b-4e83-bd42-d0ed4c0d1e74}"/>
        <w:style w:val=""/>
        <w:category>
          <w:name w:val="常规"/>
          <w:gallery w:val="placeholder"/>
        </w:category>
        <w:types>
          <w:type w:val="bbPlcHdr"/>
        </w:types>
        <w:behaviors>
          <w:behavior w:val="content"/>
        </w:behaviors>
        <w:description w:val=""/>
        <w:guid w:val="{2bb8ae50-9b2b-4e83-bd42-d0ed4c0d1e74}"/>
      </w:docPartPr>
      <w:docPartBody>
        <w:p w14:paraId="6A8E290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14130</Words>
  <Characters>15563</Characters>
  <Lines>183</Lines>
  <Paragraphs>51</Paragraphs>
  <TotalTime>12</TotalTime>
  <ScaleCrop>false</ScaleCrop>
  <LinksUpToDate>false</LinksUpToDate>
  <CharactersWithSpaces>15917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2022-01-02T12:08:00Z</dcterms:created>
  <dc:creator>lixue</dc:creator>
  <cp:lastModifiedBy>Yuxue</cp:lastModifiedBy>
  <cp:lastPrinted>2024-07-04T03:37:00Z</cp:lastPrinted>
  <dcterms:modified xsi:type="dcterms:W3CDTF">2026-06-25T08:17:29Z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71BC6D86E9F549BCB60A30BFA97BB28C</vt:lpwstr>
  </property>
  <property fmtid="{D5CDD505-2E9C-101B-9397-08002B2CF9AE}" pid="4" name="KSOTemplateDocerSaveRecord">
    <vt:lpwstr>eyJoZGlkIjoiYjk4M2FjZWJlZGEwMTI5YTBlMjgyZWUxNmFiY2QxM2EiLCJ1c2VySWQiOiI0NzQxNTQ2NjUifQ==</vt:lpwstr>
  </property>
</Properties>
</file>